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Override PartName="/word/footer6.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A7C" w:rsidRDefault="00690A7C" w:rsidP="00956DB0"/>
    <w:p w:rsidR="00690A7C" w:rsidRDefault="00690A7C" w:rsidP="00690A7C">
      <w:pPr>
        <w:rPr>
          <w:rFonts w:ascii="Arial" w:hAnsi="Arial" w:cs="Arial"/>
        </w:rPr>
      </w:pPr>
      <w:r>
        <w:tab/>
      </w:r>
      <w:r>
        <w:tab/>
      </w:r>
      <w:r>
        <w:tab/>
      </w:r>
      <w:r>
        <w:tab/>
      </w:r>
      <w:r>
        <w:tab/>
      </w:r>
    </w:p>
    <w:p w:rsidR="00690A7C" w:rsidRDefault="00690A7C" w:rsidP="00690A7C">
      <w:pPr>
        <w:pStyle w:val="Heading1"/>
        <w:suppressLineNumbers w:val="0"/>
        <w:spacing w:before="0" w:after="0"/>
        <w:ind w:left="0" w:firstLine="0"/>
        <w:jc w:val="center"/>
        <w:rPr>
          <w:rFonts w:ascii="Arial" w:hAnsi="Arial" w:cs="Arial"/>
          <w:caps w:val="0"/>
          <w:color w:val="auto"/>
          <w:kern w:val="0"/>
          <w:sz w:val="32"/>
        </w:rPr>
      </w:pPr>
    </w:p>
    <w:p w:rsidR="00690A7C" w:rsidRDefault="00690A7C" w:rsidP="00690A7C">
      <w:pPr>
        <w:pStyle w:val="Heading1"/>
        <w:suppressLineNumbers w:val="0"/>
        <w:spacing w:before="0" w:after="0"/>
        <w:ind w:left="0" w:firstLine="0"/>
        <w:jc w:val="center"/>
        <w:rPr>
          <w:rFonts w:ascii="Arial" w:hAnsi="Arial" w:cs="Arial"/>
          <w:caps w:val="0"/>
          <w:color w:val="auto"/>
          <w:kern w:val="0"/>
          <w:sz w:val="32"/>
        </w:rPr>
      </w:pPr>
    </w:p>
    <w:p w:rsidR="00690A7C" w:rsidRDefault="00690A7C" w:rsidP="00690A7C">
      <w:pPr>
        <w:pStyle w:val="Heading1"/>
        <w:suppressLineNumbers w:val="0"/>
        <w:spacing w:before="0" w:after="0"/>
        <w:ind w:left="0" w:firstLine="0"/>
        <w:jc w:val="center"/>
        <w:rPr>
          <w:rFonts w:ascii="Arial" w:hAnsi="Arial" w:cs="Arial"/>
          <w:caps w:val="0"/>
          <w:color w:val="auto"/>
          <w:kern w:val="0"/>
          <w:sz w:val="32"/>
        </w:rPr>
      </w:pPr>
    </w:p>
    <w:p w:rsidR="00690A7C" w:rsidRDefault="00690A7C" w:rsidP="00690A7C">
      <w:pPr>
        <w:pStyle w:val="Heading1"/>
        <w:suppressLineNumbers w:val="0"/>
        <w:spacing w:before="0" w:after="0"/>
        <w:ind w:left="0" w:firstLine="0"/>
        <w:jc w:val="center"/>
        <w:rPr>
          <w:rFonts w:ascii="Arial" w:hAnsi="Arial" w:cs="Arial"/>
          <w:caps w:val="0"/>
          <w:color w:val="auto"/>
          <w:kern w:val="0"/>
          <w:sz w:val="32"/>
        </w:rPr>
      </w:pPr>
    </w:p>
    <w:p w:rsidR="00690A7C" w:rsidRDefault="00690A7C" w:rsidP="00690A7C">
      <w:pPr>
        <w:pStyle w:val="Heading1"/>
        <w:suppressLineNumbers w:val="0"/>
        <w:spacing w:before="0" w:after="0"/>
        <w:ind w:left="0" w:firstLine="0"/>
        <w:jc w:val="center"/>
        <w:rPr>
          <w:rFonts w:ascii="Arial" w:hAnsi="Arial" w:cs="Arial"/>
          <w:caps w:val="0"/>
          <w:color w:val="auto"/>
          <w:kern w:val="0"/>
          <w:sz w:val="32"/>
        </w:rPr>
      </w:pPr>
    </w:p>
    <w:p w:rsidR="00690A7C" w:rsidRDefault="00690A7C" w:rsidP="00690A7C">
      <w:pPr>
        <w:pStyle w:val="Heading1"/>
        <w:suppressLineNumbers w:val="0"/>
        <w:spacing w:before="0" w:after="0"/>
        <w:ind w:left="0" w:firstLine="0"/>
        <w:jc w:val="center"/>
        <w:rPr>
          <w:rFonts w:ascii="Arial" w:hAnsi="Arial" w:cs="Arial"/>
          <w:caps w:val="0"/>
          <w:color w:val="auto"/>
          <w:kern w:val="0"/>
          <w:sz w:val="32"/>
        </w:rPr>
      </w:pPr>
    </w:p>
    <w:p w:rsidR="00690A7C" w:rsidRPr="00A15830" w:rsidRDefault="00690A7C" w:rsidP="000626E1">
      <w:pPr>
        <w:pStyle w:val="Heading1"/>
        <w:suppressLineNumbers w:val="0"/>
        <w:spacing w:before="0" w:after="0"/>
        <w:ind w:left="-1440" w:firstLine="0"/>
        <w:jc w:val="center"/>
        <w:rPr>
          <w:rFonts w:ascii="Arial" w:hAnsi="Arial" w:cs="Arial"/>
          <w:caps w:val="0"/>
          <w:color w:val="auto"/>
          <w:kern w:val="0"/>
          <w:sz w:val="32"/>
        </w:rPr>
      </w:pPr>
      <w:r>
        <w:rPr>
          <w:rFonts w:ascii="Arial" w:hAnsi="Arial" w:cs="Arial"/>
          <w:caps w:val="0"/>
          <w:color w:val="auto"/>
          <w:kern w:val="0"/>
          <w:sz w:val="32"/>
        </w:rPr>
        <w:t>APPENDIX I</w:t>
      </w:r>
    </w:p>
    <w:p w:rsidR="00690A7C" w:rsidRPr="00A15830" w:rsidRDefault="00690A7C" w:rsidP="000626E1">
      <w:pPr>
        <w:pStyle w:val="Heading1"/>
        <w:suppressLineNumbers w:val="0"/>
        <w:spacing w:before="0" w:after="0"/>
        <w:ind w:left="-1440" w:firstLine="0"/>
        <w:jc w:val="center"/>
        <w:rPr>
          <w:rFonts w:ascii="Arial" w:hAnsi="Arial" w:cs="Arial"/>
          <w:caps w:val="0"/>
          <w:color w:val="auto"/>
          <w:kern w:val="0"/>
          <w:sz w:val="32"/>
        </w:rPr>
      </w:pPr>
    </w:p>
    <w:p w:rsidR="00690A7C" w:rsidRPr="00A15830" w:rsidRDefault="00690A7C" w:rsidP="000626E1">
      <w:pPr>
        <w:pStyle w:val="Heading1"/>
        <w:suppressLineNumbers w:val="0"/>
        <w:spacing w:before="0" w:after="0"/>
        <w:ind w:left="-1440" w:firstLine="0"/>
        <w:jc w:val="center"/>
        <w:rPr>
          <w:rFonts w:ascii="Arial" w:hAnsi="Arial" w:cs="Arial"/>
          <w:caps w:val="0"/>
          <w:color w:val="auto"/>
          <w:kern w:val="0"/>
          <w:sz w:val="32"/>
        </w:rPr>
      </w:pPr>
      <w:r>
        <w:rPr>
          <w:rFonts w:ascii="Arial" w:hAnsi="Arial" w:cs="Arial"/>
          <w:caps w:val="0"/>
          <w:color w:val="auto"/>
          <w:kern w:val="0"/>
          <w:sz w:val="32"/>
        </w:rPr>
        <w:t>Scenario Fuel Forecast</w:t>
      </w:r>
    </w:p>
    <w:p w:rsidR="00690A7C" w:rsidRPr="002D67F0" w:rsidRDefault="00690A7C" w:rsidP="00690A7C">
      <w:pPr>
        <w:rPr>
          <w:rFonts w:ascii="Arial" w:hAnsi="Arial" w:cs="Arial"/>
          <w:b/>
        </w:rPr>
      </w:pPr>
    </w:p>
    <w:p w:rsidR="00690A7C" w:rsidRDefault="00690A7C">
      <w:pPr>
        <w:spacing w:before="0" w:after="0"/>
        <w:ind w:left="0"/>
        <w:jc w:val="left"/>
      </w:pPr>
      <w:r>
        <w:br w:type="page"/>
      </w:r>
      <w:r>
        <w:lastRenderedPageBreak/>
        <w:tab/>
      </w:r>
    </w:p>
    <w:p w:rsidR="00C5174D" w:rsidRDefault="004C31D2" w:rsidP="00956DB0">
      <w:r>
        <w:tab/>
      </w:r>
      <w:r>
        <w:tab/>
      </w:r>
      <w:r>
        <w:tab/>
      </w:r>
      <w:r w:rsidR="00690A7C" w:rsidRPr="00690A7C">
        <w:rPr>
          <w:noProof/>
        </w:rPr>
        <w:drawing>
          <wp:anchor distT="0" distB="0" distL="114300" distR="114300" simplePos="0" relativeHeight="251734016" behindDoc="0" locked="1" layoutInCell="1" allowOverlap="1">
            <wp:simplePos x="0" y="0"/>
            <wp:positionH relativeFrom="column">
              <wp:posOffset>-24989</wp:posOffset>
            </wp:positionH>
            <wp:positionV relativeFrom="paragraph">
              <wp:posOffset>-94129</wp:posOffset>
            </wp:positionV>
            <wp:extent cx="1775012" cy="322729"/>
            <wp:effectExtent l="0" t="0" r="0" b="0"/>
            <wp:wrapNone/>
            <wp:docPr id="2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1650" cy="323850"/>
                    </a:xfrm>
                    <a:prstGeom prst="rect">
                      <a:avLst/>
                    </a:prstGeom>
                    <a:noFill/>
                  </pic:spPr>
                </pic:pic>
              </a:graphicData>
            </a:graphic>
          </wp:anchor>
        </w:drawing>
      </w:r>
      <w:r>
        <w:tab/>
      </w:r>
    </w:p>
    <w:p w:rsidR="00C5174D" w:rsidRDefault="00C5174D" w:rsidP="00956DB0"/>
    <w:tbl>
      <w:tblPr>
        <w:tblW w:w="0" w:type="auto"/>
        <w:tblLook w:val="0000"/>
      </w:tblPr>
      <w:tblGrid>
        <w:gridCol w:w="4219"/>
      </w:tblGrid>
      <w:tr w:rsidR="00C5174D">
        <w:tc>
          <w:tcPr>
            <w:tcW w:w="4219" w:type="dxa"/>
          </w:tcPr>
          <w:p w:rsidR="00C5174D" w:rsidRDefault="00C5174D">
            <w:pPr>
              <w:rPr>
                <w:rFonts w:cs="Arial"/>
              </w:rPr>
            </w:pPr>
          </w:p>
        </w:tc>
      </w:tr>
      <w:tr w:rsidR="00C5174D">
        <w:tc>
          <w:tcPr>
            <w:tcW w:w="4219" w:type="dxa"/>
          </w:tcPr>
          <w:p w:rsidR="00C5174D" w:rsidRPr="00AE6F3D" w:rsidRDefault="00C5174D">
            <w:pPr>
              <w:pStyle w:val="TabletextR2"/>
              <w:ind w:left="0"/>
              <w:rPr>
                <w:rFonts w:cs="Arial"/>
                <w:sz w:val="24"/>
                <w:szCs w:val="24"/>
              </w:rPr>
            </w:pPr>
            <w:r w:rsidRPr="00AE6F3D">
              <w:rPr>
                <w:sz w:val="24"/>
                <w:szCs w:val="24"/>
              </w:rPr>
              <w:t>Prepared For:</w:t>
            </w:r>
          </w:p>
        </w:tc>
      </w:tr>
      <w:tr w:rsidR="00C5174D">
        <w:tc>
          <w:tcPr>
            <w:tcW w:w="4219" w:type="dxa"/>
          </w:tcPr>
          <w:p w:rsidR="00C5174D" w:rsidRPr="00AE6F3D" w:rsidRDefault="00C5174D">
            <w:pPr>
              <w:pStyle w:val="TabletextR3"/>
              <w:rPr>
                <w:sz w:val="24"/>
                <w:szCs w:val="24"/>
              </w:rPr>
            </w:pPr>
            <w:r w:rsidRPr="00AE6F3D">
              <w:rPr>
                <w:sz w:val="24"/>
                <w:szCs w:val="24"/>
              </w:rPr>
              <w:t>Southern Company Services</w:t>
            </w:r>
          </w:p>
        </w:tc>
      </w:tr>
      <w:tr w:rsidR="00C5174D">
        <w:tc>
          <w:tcPr>
            <w:tcW w:w="4219" w:type="dxa"/>
          </w:tcPr>
          <w:p w:rsidR="00C5174D" w:rsidRDefault="00C5174D">
            <w:pPr>
              <w:pStyle w:val="TabletextR3"/>
            </w:pPr>
          </w:p>
        </w:tc>
      </w:tr>
      <w:tr w:rsidR="00C5174D">
        <w:tc>
          <w:tcPr>
            <w:tcW w:w="4219" w:type="dxa"/>
          </w:tcPr>
          <w:p w:rsidR="00C5174D" w:rsidRPr="00564564" w:rsidRDefault="00C5174D">
            <w:pPr>
              <w:pStyle w:val="TabletextR3"/>
              <w:rPr>
                <w:b/>
              </w:rPr>
            </w:pPr>
          </w:p>
        </w:tc>
      </w:tr>
    </w:tbl>
    <w:p w:rsidR="00C5174D" w:rsidRDefault="00C5174D"/>
    <w:p w:rsidR="00C5174D" w:rsidRDefault="00C5174D">
      <w:pPr>
        <w:pStyle w:val="BodyText"/>
      </w:pPr>
    </w:p>
    <w:p w:rsidR="00C5174D" w:rsidRDefault="004C31D2">
      <w:pPr>
        <w:pStyle w:val="BodyText"/>
      </w:pPr>
      <w:r>
        <w:tab/>
      </w:r>
      <w:r>
        <w:tab/>
      </w:r>
    </w:p>
    <w:p w:rsidR="00C5174D" w:rsidRDefault="00C5174D" w:rsidP="00AE6F3D">
      <w:pPr>
        <w:pStyle w:val="ReportName"/>
        <w:suppressAutoHyphens/>
        <w:ind w:left="0"/>
      </w:pPr>
      <w:r w:rsidRPr="00117ED4">
        <w:t xml:space="preserve">Scenario Fuel Forecast Documentation – </w:t>
      </w:r>
      <w:r>
        <w:t xml:space="preserve">Budget </w:t>
      </w:r>
      <w:r w:rsidRPr="00117ED4">
        <w:t>201</w:t>
      </w:r>
      <w:r w:rsidR="00AE6F3D">
        <w:t>3</w:t>
      </w:r>
    </w:p>
    <w:p w:rsidR="00C5174D" w:rsidRDefault="00C5174D">
      <w:pPr>
        <w:pStyle w:val="BodyText"/>
        <w:rPr>
          <w:b/>
        </w:rPr>
      </w:pPr>
    </w:p>
    <w:p w:rsidR="00C5174D" w:rsidRDefault="00C5174D">
      <w:pPr>
        <w:pStyle w:val="BodyText"/>
        <w:rPr>
          <w:b/>
        </w:rPr>
      </w:pPr>
    </w:p>
    <w:p w:rsidR="00C5174D" w:rsidRDefault="00C5174D">
      <w:pPr>
        <w:pStyle w:val="BodyText"/>
        <w:rPr>
          <w:b/>
        </w:rPr>
      </w:pPr>
    </w:p>
    <w:p w:rsidR="00C5174D" w:rsidRDefault="00C5174D">
      <w:pPr>
        <w:pStyle w:val="BodyText"/>
      </w:pPr>
    </w:p>
    <w:tbl>
      <w:tblPr>
        <w:tblW w:w="0" w:type="auto"/>
        <w:tblLook w:val="0000"/>
      </w:tblPr>
      <w:tblGrid>
        <w:gridCol w:w="7008"/>
      </w:tblGrid>
      <w:tr w:rsidR="00C5174D" w:rsidTr="00AE6F3D">
        <w:trPr>
          <w:trHeight w:val="965"/>
        </w:trPr>
        <w:tc>
          <w:tcPr>
            <w:tcW w:w="7008" w:type="dxa"/>
          </w:tcPr>
          <w:p w:rsidR="00C5174D" w:rsidRPr="008A6168" w:rsidRDefault="00C5174D">
            <w:pPr>
              <w:pStyle w:val="TabletextR2"/>
              <w:ind w:left="0"/>
              <w:rPr>
                <w:sz w:val="20"/>
              </w:rPr>
            </w:pPr>
            <w:r w:rsidRPr="008A6168">
              <w:rPr>
                <w:sz w:val="20"/>
              </w:rPr>
              <w:t>Prepared By:</w:t>
            </w:r>
          </w:p>
          <w:p w:rsidR="00C5174D" w:rsidRPr="008A6168" w:rsidRDefault="00C5174D" w:rsidP="00725AFD">
            <w:pPr>
              <w:pStyle w:val="TabletextR2"/>
              <w:suppressAutoHyphens/>
              <w:ind w:left="0"/>
              <w:rPr>
                <w:rFonts w:cs="Arial"/>
                <w:b w:val="0"/>
                <w:sz w:val="20"/>
              </w:rPr>
            </w:pPr>
            <w:r w:rsidRPr="008A6168">
              <w:rPr>
                <w:b w:val="0"/>
                <w:sz w:val="20"/>
              </w:rPr>
              <w:t xml:space="preserve">Ira </w:t>
            </w:r>
            <w:proofErr w:type="spellStart"/>
            <w:r w:rsidRPr="008A6168">
              <w:rPr>
                <w:b w:val="0"/>
                <w:sz w:val="20"/>
              </w:rPr>
              <w:t>Shavel</w:t>
            </w:r>
            <w:proofErr w:type="spellEnd"/>
            <w:r w:rsidRPr="008A6168">
              <w:rPr>
                <w:b w:val="0"/>
                <w:sz w:val="20"/>
              </w:rPr>
              <w:t>,</w:t>
            </w:r>
            <w:r w:rsidR="00AE6F3D" w:rsidRPr="008A6168">
              <w:rPr>
                <w:b w:val="0"/>
                <w:sz w:val="20"/>
              </w:rPr>
              <w:t xml:space="preserve"> Chris </w:t>
            </w:r>
            <w:proofErr w:type="spellStart"/>
            <w:r w:rsidR="00AE6F3D" w:rsidRPr="008A6168">
              <w:rPr>
                <w:b w:val="0"/>
                <w:sz w:val="20"/>
              </w:rPr>
              <w:t>Goncalves</w:t>
            </w:r>
            <w:proofErr w:type="spellEnd"/>
            <w:r w:rsidR="00AE6F3D" w:rsidRPr="008A6168">
              <w:rPr>
                <w:b w:val="0"/>
                <w:sz w:val="20"/>
              </w:rPr>
              <w:t xml:space="preserve">, Chris Ross, Barclay Gibbs, </w:t>
            </w:r>
            <w:proofErr w:type="spellStart"/>
            <w:r w:rsidR="00AE6F3D" w:rsidRPr="008A6168">
              <w:rPr>
                <w:b w:val="0"/>
                <w:sz w:val="20"/>
              </w:rPr>
              <w:t>Yingxia</w:t>
            </w:r>
            <w:proofErr w:type="spellEnd"/>
            <w:r w:rsidR="00AE6F3D" w:rsidRPr="008A6168">
              <w:rPr>
                <w:b w:val="0"/>
                <w:sz w:val="20"/>
              </w:rPr>
              <w:t xml:space="preserve"> Yang</w:t>
            </w:r>
            <w:r w:rsidR="00725AFD" w:rsidRPr="008A6168">
              <w:rPr>
                <w:b w:val="0"/>
                <w:sz w:val="20"/>
              </w:rPr>
              <w:t xml:space="preserve">, Li </w:t>
            </w:r>
            <w:proofErr w:type="spellStart"/>
            <w:r w:rsidR="00725AFD" w:rsidRPr="008A6168">
              <w:rPr>
                <w:b w:val="0"/>
                <w:sz w:val="20"/>
              </w:rPr>
              <w:t>Li</w:t>
            </w:r>
            <w:proofErr w:type="spellEnd"/>
          </w:p>
        </w:tc>
      </w:tr>
      <w:tr w:rsidR="00C5174D" w:rsidTr="00AE6F3D">
        <w:trPr>
          <w:trHeight w:val="397"/>
        </w:trPr>
        <w:tc>
          <w:tcPr>
            <w:tcW w:w="7008" w:type="dxa"/>
          </w:tcPr>
          <w:p w:rsidR="00C5174D" w:rsidRPr="00AE6F3D" w:rsidRDefault="00C5174D">
            <w:pPr>
              <w:pStyle w:val="TabletextR3"/>
              <w:rPr>
                <w:sz w:val="20"/>
              </w:rPr>
            </w:pPr>
            <w:r w:rsidRPr="00AE6F3D">
              <w:rPr>
                <w:sz w:val="20"/>
              </w:rPr>
              <w:t xml:space="preserve">Charles River Associates </w:t>
            </w:r>
          </w:p>
        </w:tc>
      </w:tr>
      <w:tr w:rsidR="00C5174D" w:rsidTr="00AE6F3D">
        <w:trPr>
          <w:trHeight w:val="411"/>
        </w:trPr>
        <w:tc>
          <w:tcPr>
            <w:tcW w:w="7008" w:type="dxa"/>
          </w:tcPr>
          <w:p w:rsidR="00C5174D" w:rsidRPr="00AE6F3D" w:rsidRDefault="00C5174D">
            <w:pPr>
              <w:pStyle w:val="TabletextR3"/>
              <w:rPr>
                <w:sz w:val="20"/>
              </w:rPr>
            </w:pPr>
            <w:r w:rsidRPr="00AE6F3D">
              <w:rPr>
                <w:sz w:val="20"/>
              </w:rPr>
              <w:t>1201 F Street, NW, Suite 700</w:t>
            </w:r>
          </w:p>
        </w:tc>
      </w:tr>
      <w:tr w:rsidR="00C5174D" w:rsidTr="00AE6F3D">
        <w:trPr>
          <w:trHeight w:val="397"/>
        </w:trPr>
        <w:tc>
          <w:tcPr>
            <w:tcW w:w="7008" w:type="dxa"/>
          </w:tcPr>
          <w:p w:rsidR="00C5174D" w:rsidRPr="00AE6F3D" w:rsidRDefault="00C5174D">
            <w:pPr>
              <w:pStyle w:val="TabletextR3"/>
              <w:rPr>
                <w:sz w:val="20"/>
              </w:rPr>
            </w:pPr>
            <w:r w:rsidRPr="00AE6F3D">
              <w:rPr>
                <w:sz w:val="20"/>
              </w:rPr>
              <w:t>Washington, DC 20004</w:t>
            </w:r>
          </w:p>
        </w:tc>
      </w:tr>
      <w:tr w:rsidR="00C5174D" w:rsidTr="00AE6F3D">
        <w:trPr>
          <w:trHeight w:val="241"/>
        </w:trPr>
        <w:tc>
          <w:tcPr>
            <w:tcW w:w="7008" w:type="dxa"/>
          </w:tcPr>
          <w:p w:rsidR="00C5174D" w:rsidRPr="00AE6F3D" w:rsidRDefault="00C5174D">
            <w:pPr>
              <w:pStyle w:val="TabletextR3"/>
              <w:rPr>
                <w:sz w:val="20"/>
              </w:rPr>
            </w:pPr>
          </w:p>
        </w:tc>
      </w:tr>
      <w:tr w:rsidR="00C5174D" w:rsidTr="00AE6F3D">
        <w:trPr>
          <w:trHeight w:val="397"/>
        </w:trPr>
        <w:tc>
          <w:tcPr>
            <w:tcW w:w="7008" w:type="dxa"/>
            <w:tcBorders>
              <w:bottom w:val="single" w:sz="4" w:space="0" w:color="auto"/>
            </w:tcBorders>
          </w:tcPr>
          <w:p w:rsidR="00C5174D" w:rsidRPr="00AE6F3D" w:rsidRDefault="00EF1766" w:rsidP="00DA67B2">
            <w:pPr>
              <w:pStyle w:val="TabletextR3"/>
              <w:rPr>
                <w:sz w:val="20"/>
              </w:rPr>
            </w:pPr>
            <w:r w:rsidRPr="00744916">
              <w:rPr>
                <w:sz w:val="20"/>
              </w:rPr>
              <w:t xml:space="preserve">Confidential </w:t>
            </w:r>
            <w:r w:rsidR="00B71E44">
              <w:rPr>
                <w:sz w:val="20"/>
              </w:rPr>
              <w:t xml:space="preserve">- </w:t>
            </w:r>
            <w:r w:rsidR="00744916">
              <w:rPr>
                <w:sz w:val="20"/>
              </w:rPr>
              <w:t xml:space="preserve">November </w:t>
            </w:r>
            <w:r w:rsidR="00C5174D" w:rsidRPr="00AE6F3D">
              <w:rPr>
                <w:sz w:val="20"/>
              </w:rPr>
              <w:t>201</w:t>
            </w:r>
            <w:r w:rsidR="00AE6F3D" w:rsidRPr="00AE6F3D">
              <w:rPr>
                <w:sz w:val="20"/>
              </w:rPr>
              <w:t>2</w:t>
            </w:r>
          </w:p>
        </w:tc>
      </w:tr>
      <w:tr w:rsidR="00C5174D" w:rsidTr="00AE6F3D">
        <w:trPr>
          <w:trHeight w:val="411"/>
        </w:trPr>
        <w:tc>
          <w:tcPr>
            <w:tcW w:w="7008" w:type="dxa"/>
            <w:tcBorders>
              <w:top w:val="single" w:sz="4" w:space="0" w:color="auto"/>
            </w:tcBorders>
          </w:tcPr>
          <w:p w:rsidR="00C5174D" w:rsidRDefault="00C5174D">
            <w:pPr>
              <w:pStyle w:val="TabletextR3"/>
              <w:rPr>
                <w:b/>
              </w:rPr>
            </w:pPr>
          </w:p>
        </w:tc>
      </w:tr>
    </w:tbl>
    <w:p w:rsidR="00C5174D" w:rsidRPr="00917D0E" w:rsidRDefault="00C5174D">
      <w:pPr>
        <w:pStyle w:val="BodyText"/>
        <w:rPr>
          <w:b/>
        </w:rPr>
      </w:pPr>
    </w:p>
    <w:p w:rsidR="00C5174D" w:rsidRDefault="00C5174D">
      <w:pPr>
        <w:pStyle w:val="BodyText"/>
        <w:rPr>
          <w:rFonts w:ascii="TimesNewRomanPS" w:hAnsi="TimesNewRomanPS"/>
        </w:rPr>
        <w:sectPr w:rsidR="00C5174D">
          <w:headerReference w:type="even" r:id="rId8"/>
          <w:headerReference w:type="default" r:id="rId9"/>
          <w:footerReference w:type="even" r:id="rId10"/>
          <w:footerReference w:type="default" r:id="rId11"/>
          <w:headerReference w:type="first" r:id="rId12"/>
          <w:footerReference w:type="first" r:id="rId13"/>
          <w:pgSz w:w="12242" w:h="15842" w:code="1"/>
          <w:pgMar w:top="1440" w:right="1440" w:bottom="1440" w:left="1440" w:header="578" w:footer="431" w:gutter="1077"/>
          <w:paperSrc w:first="500" w:other="500"/>
          <w:cols w:space="720"/>
          <w:titlePg/>
        </w:sectPr>
      </w:pPr>
    </w:p>
    <w:p w:rsidR="00C5174D" w:rsidRPr="000564A7" w:rsidRDefault="008771A0" w:rsidP="008771A0">
      <w:pPr>
        <w:pStyle w:val="SectionHeading"/>
        <w:tabs>
          <w:tab w:val="center" w:pos="3782"/>
          <w:tab w:val="right" w:pos="8285"/>
        </w:tabs>
        <w:jc w:val="left"/>
        <w:rPr>
          <w:caps w:val="0"/>
        </w:rPr>
      </w:pPr>
      <w:r>
        <w:rPr>
          <w:caps w:val="0"/>
        </w:rPr>
        <w:lastRenderedPageBreak/>
        <w:tab/>
      </w:r>
      <w:r w:rsidR="00C5174D" w:rsidRPr="000564A7">
        <w:rPr>
          <w:caps w:val="0"/>
        </w:rPr>
        <w:t xml:space="preserve">Table of </w:t>
      </w:r>
      <w:r w:rsidR="008F346D">
        <w:rPr>
          <w:caps w:val="0"/>
        </w:rPr>
        <w:t>C</w:t>
      </w:r>
      <w:r w:rsidR="00C5174D" w:rsidRPr="000564A7">
        <w:rPr>
          <w:caps w:val="0"/>
        </w:rPr>
        <w:t>ontents</w:t>
      </w:r>
      <w:r>
        <w:rPr>
          <w:caps w:val="0"/>
        </w:rPr>
        <w:tab/>
      </w:r>
    </w:p>
    <w:p w:rsidR="00BF0B15" w:rsidRDefault="00BF0B15">
      <w:pPr>
        <w:pStyle w:val="TOC1"/>
        <w:rPr>
          <w:rFonts w:asciiTheme="minorHAnsi" w:eastAsiaTheme="minorEastAsia" w:hAnsiTheme="minorHAnsi" w:cstheme="minorBidi"/>
          <w:caps w:val="0"/>
          <w:color w:val="auto"/>
          <w:szCs w:val="22"/>
        </w:rPr>
      </w:pPr>
      <w:r w:rsidRPr="00635CDC">
        <w:rPr>
          <w:sz w:val="19"/>
          <w:u w:color="808080"/>
        </w:rPr>
        <w:t>1.</w:t>
      </w:r>
      <w:r>
        <w:rPr>
          <w:rFonts w:asciiTheme="minorHAnsi" w:eastAsiaTheme="minorEastAsia" w:hAnsiTheme="minorHAnsi" w:cstheme="minorBidi"/>
          <w:caps w:val="0"/>
          <w:color w:val="auto"/>
          <w:szCs w:val="22"/>
        </w:rPr>
        <w:tab/>
      </w:r>
      <w:r w:rsidRPr="00635CDC">
        <w:rPr>
          <w:sz w:val="19"/>
          <w:u w:color="808080"/>
        </w:rPr>
        <w:t>INTRODUCTION</w:t>
      </w:r>
      <w:r>
        <w:rPr>
          <w:webHidden/>
        </w:rPr>
        <w:tab/>
      </w:r>
      <w:r w:rsidR="005227E0">
        <w:rPr>
          <w:webHidden/>
        </w:rPr>
        <w:t>1</w:t>
      </w:r>
    </w:p>
    <w:p w:rsidR="00BF0B15" w:rsidRDefault="00BF0B15">
      <w:pPr>
        <w:pStyle w:val="TOC1"/>
        <w:rPr>
          <w:rFonts w:asciiTheme="minorHAnsi" w:eastAsiaTheme="minorEastAsia" w:hAnsiTheme="minorHAnsi" w:cstheme="minorBidi"/>
          <w:caps w:val="0"/>
          <w:color w:val="auto"/>
          <w:szCs w:val="22"/>
        </w:rPr>
      </w:pPr>
      <w:r w:rsidRPr="00635CDC">
        <w:rPr>
          <w:sz w:val="19"/>
          <w:u w:color="808080"/>
        </w:rPr>
        <w:t>2.</w:t>
      </w:r>
      <w:r>
        <w:rPr>
          <w:rFonts w:asciiTheme="minorHAnsi" w:eastAsiaTheme="minorEastAsia" w:hAnsiTheme="minorHAnsi" w:cstheme="minorBidi"/>
          <w:caps w:val="0"/>
          <w:color w:val="auto"/>
          <w:szCs w:val="22"/>
        </w:rPr>
        <w:tab/>
      </w:r>
      <w:r w:rsidRPr="00635CDC">
        <w:rPr>
          <w:sz w:val="19"/>
          <w:u w:color="808080"/>
        </w:rPr>
        <w:t>Overview of FUEL and CO</w:t>
      </w:r>
      <w:r w:rsidRPr="00635CDC">
        <w:rPr>
          <w:sz w:val="19"/>
          <w:u w:color="808080"/>
          <w:vertAlign w:val="subscript"/>
        </w:rPr>
        <w:t>2</w:t>
      </w:r>
      <w:r w:rsidRPr="00635CDC">
        <w:rPr>
          <w:sz w:val="19"/>
          <w:u w:color="808080"/>
        </w:rPr>
        <w:t xml:space="preserve"> View DEVELOPMENT</w:t>
      </w:r>
      <w:r>
        <w:rPr>
          <w:webHidden/>
        </w:rPr>
        <w:tab/>
      </w:r>
      <w:r w:rsidR="005227E0">
        <w:rPr>
          <w:webHidden/>
        </w:rPr>
        <w:t>2</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2.1.</w:t>
      </w:r>
      <w:r>
        <w:rPr>
          <w:rFonts w:asciiTheme="minorHAnsi" w:eastAsiaTheme="minorEastAsia" w:hAnsiTheme="minorHAnsi" w:cstheme="minorBidi"/>
          <w:smallCaps w:val="0"/>
          <w:sz w:val="22"/>
          <w:szCs w:val="22"/>
        </w:rPr>
        <w:tab/>
      </w:r>
      <w:r w:rsidRPr="00635CDC">
        <w:rPr>
          <w:sz w:val="19"/>
          <w:u w:color="808080"/>
        </w:rPr>
        <w:t>Short-Term and Long-Term Fuel Price Forecasting</w:t>
      </w:r>
      <w:r>
        <w:rPr>
          <w:webHidden/>
        </w:rPr>
        <w:tab/>
      </w:r>
      <w:r w:rsidR="005227E0">
        <w:rPr>
          <w:webHidden/>
        </w:rPr>
        <w:t>2</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2.2.</w:t>
      </w:r>
      <w:r>
        <w:rPr>
          <w:rFonts w:asciiTheme="minorHAnsi" w:eastAsiaTheme="minorEastAsia" w:hAnsiTheme="minorHAnsi" w:cstheme="minorBidi"/>
          <w:smallCaps w:val="0"/>
          <w:sz w:val="22"/>
          <w:szCs w:val="22"/>
        </w:rPr>
        <w:tab/>
      </w:r>
      <w:r w:rsidRPr="00635CDC">
        <w:rPr>
          <w:sz w:val="19"/>
          <w:u w:color="808080"/>
        </w:rPr>
        <w:t>Key Drivers</w:t>
      </w:r>
      <w:r>
        <w:rPr>
          <w:webHidden/>
        </w:rPr>
        <w:tab/>
      </w:r>
      <w:r w:rsidR="005227E0">
        <w:rPr>
          <w:webHidden/>
        </w:rPr>
        <w:t>3</w:t>
      </w:r>
    </w:p>
    <w:p w:rsidR="00BF0B15" w:rsidRDefault="00BF0B15">
      <w:pPr>
        <w:pStyle w:val="TOC3"/>
        <w:rPr>
          <w:rFonts w:asciiTheme="minorHAnsi" w:eastAsiaTheme="minorEastAsia" w:hAnsiTheme="minorHAnsi" w:cstheme="minorBidi"/>
          <w:sz w:val="22"/>
          <w:szCs w:val="22"/>
        </w:rPr>
      </w:pPr>
      <w:r w:rsidRPr="00635CDC">
        <w:rPr>
          <w:sz w:val="19"/>
          <w:u w:color="808080"/>
        </w:rPr>
        <w:t>2.2.1.</w:t>
      </w:r>
      <w:r>
        <w:rPr>
          <w:rFonts w:asciiTheme="minorHAnsi" w:eastAsiaTheme="minorEastAsia" w:hAnsiTheme="minorHAnsi" w:cstheme="minorBidi"/>
          <w:sz w:val="22"/>
          <w:szCs w:val="22"/>
        </w:rPr>
        <w:tab/>
      </w:r>
      <w:r w:rsidRPr="00635CDC">
        <w:rPr>
          <w:sz w:val="19"/>
          <w:u w:color="808080"/>
        </w:rPr>
        <w:t>Limitations on Electric Generation Baseload Capacity Additions</w:t>
      </w:r>
      <w:r>
        <w:rPr>
          <w:webHidden/>
        </w:rPr>
        <w:tab/>
      </w:r>
      <w:r w:rsidR="005227E0">
        <w:rPr>
          <w:webHidden/>
        </w:rPr>
        <w:t>3</w:t>
      </w:r>
    </w:p>
    <w:p w:rsidR="00BF0B15" w:rsidRDefault="00BF0B15">
      <w:pPr>
        <w:pStyle w:val="TOC3"/>
        <w:rPr>
          <w:rFonts w:asciiTheme="minorHAnsi" w:eastAsiaTheme="minorEastAsia" w:hAnsiTheme="minorHAnsi" w:cstheme="minorBidi"/>
          <w:sz w:val="22"/>
          <w:szCs w:val="22"/>
        </w:rPr>
      </w:pPr>
      <w:r w:rsidRPr="00635CDC">
        <w:rPr>
          <w:sz w:val="19"/>
          <w:u w:color="808080"/>
        </w:rPr>
        <w:t>2.2.2.</w:t>
      </w:r>
      <w:r>
        <w:rPr>
          <w:rFonts w:asciiTheme="minorHAnsi" w:eastAsiaTheme="minorEastAsia" w:hAnsiTheme="minorHAnsi" w:cstheme="minorBidi"/>
          <w:sz w:val="22"/>
          <w:szCs w:val="22"/>
        </w:rPr>
        <w:tab/>
      </w:r>
      <w:r w:rsidRPr="00635CDC">
        <w:rPr>
          <w:sz w:val="19"/>
          <w:u w:color="808080"/>
        </w:rPr>
        <w:t>Domestic Natural Gas Supply, Particularly From Shale</w:t>
      </w:r>
      <w:r>
        <w:rPr>
          <w:webHidden/>
        </w:rPr>
        <w:tab/>
      </w:r>
      <w:r w:rsidR="005227E0">
        <w:rPr>
          <w:webHidden/>
        </w:rPr>
        <w:t>4</w:t>
      </w:r>
    </w:p>
    <w:p w:rsidR="00BF0B15" w:rsidRDefault="00BF0B15">
      <w:pPr>
        <w:pStyle w:val="TOC3"/>
        <w:rPr>
          <w:rFonts w:asciiTheme="minorHAnsi" w:eastAsiaTheme="minorEastAsia" w:hAnsiTheme="minorHAnsi" w:cstheme="minorBidi"/>
          <w:sz w:val="22"/>
          <w:szCs w:val="22"/>
        </w:rPr>
      </w:pPr>
      <w:r w:rsidRPr="00635CDC">
        <w:rPr>
          <w:sz w:val="19"/>
          <w:u w:color="808080"/>
        </w:rPr>
        <w:t>2.2.3.</w:t>
      </w:r>
      <w:r>
        <w:rPr>
          <w:rFonts w:asciiTheme="minorHAnsi" w:eastAsiaTheme="minorEastAsia" w:hAnsiTheme="minorHAnsi" w:cstheme="minorBidi"/>
          <w:sz w:val="22"/>
          <w:szCs w:val="22"/>
        </w:rPr>
        <w:tab/>
      </w:r>
      <w:r w:rsidRPr="00635CDC">
        <w:rPr>
          <w:sz w:val="19"/>
          <w:u w:color="808080"/>
        </w:rPr>
        <w:t>Expected Environmental Regulations</w:t>
      </w:r>
      <w:r>
        <w:rPr>
          <w:webHidden/>
        </w:rPr>
        <w:tab/>
      </w:r>
      <w:r w:rsidR="005227E0">
        <w:rPr>
          <w:webHidden/>
        </w:rPr>
        <w:t>5</w:t>
      </w:r>
    </w:p>
    <w:p w:rsidR="00BF0B15" w:rsidRDefault="00BF0B15">
      <w:pPr>
        <w:pStyle w:val="TOC1"/>
        <w:rPr>
          <w:rFonts w:asciiTheme="minorHAnsi" w:eastAsiaTheme="minorEastAsia" w:hAnsiTheme="minorHAnsi" w:cstheme="minorBidi"/>
          <w:caps w:val="0"/>
          <w:color w:val="auto"/>
          <w:szCs w:val="22"/>
        </w:rPr>
      </w:pPr>
      <w:r w:rsidRPr="00635CDC">
        <w:rPr>
          <w:sz w:val="19"/>
          <w:u w:color="808080"/>
        </w:rPr>
        <w:t>3.</w:t>
      </w:r>
      <w:r>
        <w:rPr>
          <w:rFonts w:asciiTheme="minorHAnsi" w:eastAsiaTheme="minorEastAsia" w:hAnsiTheme="minorHAnsi" w:cstheme="minorBidi"/>
          <w:caps w:val="0"/>
          <w:color w:val="auto"/>
          <w:szCs w:val="22"/>
        </w:rPr>
        <w:tab/>
      </w:r>
      <w:r w:rsidRPr="00635CDC">
        <w:rPr>
          <w:sz w:val="19"/>
          <w:u w:color="808080"/>
        </w:rPr>
        <w:t>Natural Gas outlook</w:t>
      </w:r>
      <w:r>
        <w:rPr>
          <w:webHidden/>
        </w:rPr>
        <w:tab/>
      </w:r>
      <w:r w:rsidR="005227E0">
        <w:rPr>
          <w:webHidden/>
        </w:rPr>
        <w:t>7</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3.1.</w:t>
      </w:r>
      <w:r>
        <w:rPr>
          <w:rFonts w:asciiTheme="minorHAnsi" w:eastAsiaTheme="minorEastAsia" w:hAnsiTheme="minorHAnsi" w:cstheme="minorBidi"/>
          <w:smallCaps w:val="0"/>
          <w:sz w:val="22"/>
          <w:szCs w:val="22"/>
        </w:rPr>
        <w:tab/>
      </w:r>
      <w:r w:rsidRPr="00635CDC">
        <w:rPr>
          <w:sz w:val="19"/>
          <w:u w:color="808080"/>
        </w:rPr>
        <w:t>Key Market Drivers</w:t>
      </w:r>
      <w:r>
        <w:rPr>
          <w:webHidden/>
        </w:rPr>
        <w:tab/>
      </w:r>
      <w:r w:rsidR="005227E0">
        <w:rPr>
          <w:webHidden/>
        </w:rPr>
        <w:t>7</w:t>
      </w:r>
    </w:p>
    <w:p w:rsidR="00BF0B15" w:rsidRDefault="00BF0B15">
      <w:pPr>
        <w:pStyle w:val="TOC3"/>
        <w:rPr>
          <w:rFonts w:asciiTheme="minorHAnsi" w:eastAsiaTheme="minorEastAsia" w:hAnsiTheme="minorHAnsi" w:cstheme="minorBidi"/>
          <w:sz w:val="22"/>
          <w:szCs w:val="22"/>
        </w:rPr>
      </w:pPr>
      <w:r w:rsidRPr="00635CDC">
        <w:rPr>
          <w:sz w:val="19"/>
          <w:u w:color="808080"/>
        </w:rPr>
        <w:t>3.1.1.</w:t>
      </w:r>
      <w:r>
        <w:rPr>
          <w:rFonts w:asciiTheme="minorHAnsi" w:eastAsiaTheme="minorEastAsia" w:hAnsiTheme="minorHAnsi" w:cstheme="minorBidi"/>
          <w:sz w:val="22"/>
          <w:szCs w:val="22"/>
        </w:rPr>
        <w:tab/>
      </w:r>
      <w:r w:rsidRPr="00635CDC">
        <w:rPr>
          <w:sz w:val="19"/>
          <w:u w:color="808080"/>
        </w:rPr>
        <w:t>Shale Gas Supply</w:t>
      </w:r>
      <w:r>
        <w:rPr>
          <w:webHidden/>
        </w:rPr>
        <w:tab/>
      </w:r>
      <w:r w:rsidR="005227E0">
        <w:rPr>
          <w:webHidden/>
        </w:rPr>
        <w:t>9</w:t>
      </w:r>
    </w:p>
    <w:p w:rsidR="00BF0B15" w:rsidRDefault="00BF0B15">
      <w:pPr>
        <w:pStyle w:val="TOC3"/>
        <w:rPr>
          <w:rFonts w:asciiTheme="minorHAnsi" w:eastAsiaTheme="minorEastAsia" w:hAnsiTheme="minorHAnsi" w:cstheme="minorBidi"/>
          <w:sz w:val="22"/>
          <w:szCs w:val="22"/>
        </w:rPr>
      </w:pPr>
      <w:r w:rsidRPr="00635CDC">
        <w:rPr>
          <w:sz w:val="19"/>
          <w:u w:color="808080"/>
        </w:rPr>
        <w:t>3.1.2.</w:t>
      </w:r>
      <w:r>
        <w:rPr>
          <w:rFonts w:asciiTheme="minorHAnsi" w:eastAsiaTheme="minorEastAsia" w:hAnsiTheme="minorHAnsi" w:cstheme="minorBidi"/>
          <w:sz w:val="22"/>
          <w:szCs w:val="22"/>
        </w:rPr>
        <w:tab/>
      </w:r>
      <w:r w:rsidRPr="00635CDC">
        <w:rPr>
          <w:sz w:val="19"/>
          <w:u w:color="808080"/>
        </w:rPr>
        <w:t>LNG Trade</w:t>
      </w:r>
      <w:r>
        <w:rPr>
          <w:webHidden/>
        </w:rPr>
        <w:tab/>
      </w:r>
      <w:r w:rsidR="005227E0">
        <w:rPr>
          <w:webHidden/>
        </w:rPr>
        <w:t>13</w:t>
      </w:r>
    </w:p>
    <w:p w:rsidR="00BF0B15" w:rsidRDefault="00BF0B15">
      <w:pPr>
        <w:pStyle w:val="TOC3"/>
        <w:rPr>
          <w:rFonts w:asciiTheme="minorHAnsi" w:eastAsiaTheme="minorEastAsia" w:hAnsiTheme="minorHAnsi" w:cstheme="minorBidi"/>
          <w:sz w:val="22"/>
          <w:szCs w:val="22"/>
        </w:rPr>
      </w:pPr>
      <w:r w:rsidRPr="00635CDC">
        <w:rPr>
          <w:sz w:val="19"/>
          <w:u w:color="808080"/>
        </w:rPr>
        <w:t>3.1.3.</w:t>
      </w:r>
      <w:r>
        <w:rPr>
          <w:rFonts w:asciiTheme="minorHAnsi" w:eastAsiaTheme="minorEastAsia" w:hAnsiTheme="minorHAnsi" w:cstheme="minorBidi"/>
          <w:sz w:val="22"/>
          <w:szCs w:val="22"/>
        </w:rPr>
        <w:tab/>
      </w:r>
      <w:r w:rsidRPr="00635CDC">
        <w:rPr>
          <w:sz w:val="19"/>
          <w:u w:color="808080"/>
        </w:rPr>
        <w:t>Drilling Rates and Well Productivity</w:t>
      </w:r>
      <w:r>
        <w:rPr>
          <w:webHidden/>
        </w:rPr>
        <w:tab/>
      </w:r>
      <w:r w:rsidR="005227E0">
        <w:rPr>
          <w:webHidden/>
        </w:rPr>
        <w:t>13</w:t>
      </w:r>
    </w:p>
    <w:p w:rsidR="00BF0B15" w:rsidRDefault="00BF0B15">
      <w:pPr>
        <w:pStyle w:val="TOC3"/>
        <w:rPr>
          <w:rFonts w:asciiTheme="minorHAnsi" w:eastAsiaTheme="minorEastAsia" w:hAnsiTheme="minorHAnsi" w:cstheme="minorBidi"/>
          <w:sz w:val="22"/>
          <w:szCs w:val="22"/>
        </w:rPr>
      </w:pPr>
      <w:r w:rsidRPr="00635CDC">
        <w:rPr>
          <w:sz w:val="19"/>
          <w:u w:color="808080"/>
        </w:rPr>
        <w:t>3.1.4.</w:t>
      </w:r>
      <w:r>
        <w:rPr>
          <w:rFonts w:asciiTheme="minorHAnsi" w:eastAsiaTheme="minorEastAsia" w:hAnsiTheme="minorHAnsi" w:cstheme="minorBidi"/>
          <w:sz w:val="22"/>
          <w:szCs w:val="22"/>
        </w:rPr>
        <w:tab/>
      </w:r>
      <w:r w:rsidRPr="00635CDC">
        <w:rPr>
          <w:sz w:val="19"/>
          <w:u w:color="808080"/>
        </w:rPr>
        <w:t>Policies Governing Shale Drilling Access and Costs</w:t>
      </w:r>
      <w:r>
        <w:rPr>
          <w:webHidden/>
        </w:rPr>
        <w:tab/>
      </w:r>
      <w:r w:rsidR="005227E0">
        <w:rPr>
          <w:webHidden/>
        </w:rPr>
        <w:t>15</w:t>
      </w:r>
    </w:p>
    <w:p w:rsidR="00BF0B15" w:rsidRDefault="00BF0B15">
      <w:pPr>
        <w:pStyle w:val="TOC3"/>
        <w:rPr>
          <w:rFonts w:asciiTheme="minorHAnsi" w:eastAsiaTheme="minorEastAsia" w:hAnsiTheme="minorHAnsi" w:cstheme="minorBidi"/>
          <w:sz w:val="22"/>
          <w:szCs w:val="22"/>
        </w:rPr>
      </w:pPr>
      <w:r w:rsidRPr="00635CDC">
        <w:rPr>
          <w:sz w:val="19"/>
          <w:u w:color="808080"/>
        </w:rPr>
        <w:t>3.1.5.</w:t>
      </w:r>
      <w:r>
        <w:rPr>
          <w:rFonts w:asciiTheme="minorHAnsi" w:eastAsiaTheme="minorEastAsia" w:hAnsiTheme="minorHAnsi" w:cstheme="minorBidi"/>
          <w:sz w:val="22"/>
          <w:szCs w:val="22"/>
        </w:rPr>
        <w:tab/>
      </w:r>
      <w:r w:rsidRPr="00635CDC">
        <w:rPr>
          <w:sz w:val="19"/>
          <w:u w:color="808080"/>
        </w:rPr>
        <w:t>Demand</w:t>
      </w:r>
      <w:r>
        <w:rPr>
          <w:webHidden/>
        </w:rPr>
        <w:tab/>
      </w:r>
      <w:r w:rsidR="005227E0">
        <w:rPr>
          <w:webHidden/>
        </w:rPr>
        <w:t>16</w:t>
      </w:r>
    </w:p>
    <w:p w:rsidR="00BF0B15" w:rsidRDefault="00BF0B15">
      <w:pPr>
        <w:pStyle w:val="TOC3"/>
        <w:rPr>
          <w:rFonts w:asciiTheme="minorHAnsi" w:eastAsiaTheme="minorEastAsia" w:hAnsiTheme="minorHAnsi" w:cstheme="minorBidi"/>
          <w:sz w:val="22"/>
          <w:szCs w:val="22"/>
        </w:rPr>
      </w:pPr>
      <w:r w:rsidRPr="00635CDC">
        <w:rPr>
          <w:sz w:val="19"/>
          <w:u w:color="808080"/>
        </w:rPr>
        <w:t>3.1.6.</w:t>
      </w:r>
      <w:r>
        <w:rPr>
          <w:rFonts w:asciiTheme="minorHAnsi" w:eastAsiaTheme="minorEastAsia" w:hAnsiTheme="minorHAnsi" w:cstheme="minorBidi"/>
          <w:sz w:val="22"/>
          <w:szCs w:val="22"/>
        </w:rPr>
        <w:tab/>
      </w:r>
      <w:r w:rsidRPr="00635CDC">
        <w:rPr>
          <w:sz w:val="19"/>
          <w:u w:color="808080"/>
        </w:rPr>
        <w:t>Baseload Capacity Addition Limits</w:t>
      </w:r>
      <w:r>
        <w:rPr>
          <w:webHidden/>
        </w:rPr>
        <w:tab/>
      </w:r>
      <w:r w:rsidR="005227E0">
        <w:rPr>
          <w:webHidden/>
        </w:rPr>
        <w:t>17</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3.2.</w:t>
      </w:r>
      <w:r>
        <w:rPr>
          <w:rFonts w:asciiTheme="minorHAnsi" w:eastAsiaTheme="minorEastAsia" w:hAnsiTheme="minorHAnsi" w:cstheme="minorBidi"/>
          <w:smallCaps w:val="0"/>
          <w:sz w:val="22"/>
          <w:szCs w:val="22"/>
        </w:rPr>
        <w:tab/>
      </w:r>
      <w:r w:rsidRPr="00635CDC">
        <w:rPr>
          <w:sz w:val="19"/>
          <w:u w:color="808080"/>
        </w:rPr>
        <w:t>Fuel Price Views</w:t>
      </w:r>
      <w:r>
        <w:rPr>
          <w:webHidden/>
        </w:rPr>
        <w:tab/>
      </w:r>
      <w:r w:rsidR="005227E0">
        <w:rPr>
          <w:webHidden/>
        </w:rPr>
        <w:t>19</w:t>
      </w:r>
    </w:p>
    <w:p w:rsidR="00BF0B15" w:rsidRDefault="00BF0B15">
      <w:pPr>
        <w:pStyle w:val="TOC3"/>
        <w:rPr>
          <w:rFonts w:asciiTheme="minorHAnsi" w:eastAsiaTheme="minorEastAsia" w:hAnsiTheme="minorHAnsi" w:cstheme="minorBidi"/>
          <w:sz w:val="22"/>
          <w:szCs w:val="22"/>
        </w:rPr>
      </w:pPr>
      <w:r w:rsidRPr="00635CDC">
        <w:rPr>
          <w:sz w:val="19"/>
          <w:u w:color="808080"/>
        </w:rPr>
        <w:t>3.2.1.</w:t>
      </w:r>
      <w:r>
        <w:rPr>
          <w:rFonts w:asciiTheme="minorHAnsi" w:eastAsiaTheme="minorEastAsia" w:hAnsiTheme="minorHAnsi" w:cstheme="minorBidi"/>
          <w:sz w:val="22"/>
          <w:szCs w:val="22"/>
        </w:rPr>
        <w:tab/>
      </w:r>
      <w:r w:rsidRPr="00635CDC">
        <w:rPr>
          <w:sz w:val="19"/>
          <w:u w:color="808080"/>
        </w:rPr>
        <w:t>Development of the Budget 2013 Fuel Price Views</w:t>
      </w:r>
      <w:r>
        <w:rPr>
          <w:webHidden/>
        </w:rPr>
        <w:tab/>
      </w:r>
      <w:r w:rsidR="005227E0">
        <w:rPr>
          <w:webHidden/>
        </w:rPr>
        <w:t>21</w:t>
      </w:r>
    </w:p>
    <w:p w:rsidR="00BF0B15" w:rsidRDefault="00BF0B15">
      <w:pPr>
        <w:pStyle w:val="TOC3"/>
        <w:rPr>
          <w:rFonts w:asciiTheme="minorHAnsi" w:eastAsiaTheme="minorEastAsia" w:hAnsiTheme="minorHAnsi" w:cstheme="minorBidi"/>
          <w:sz w:val="22"/>
          <w:szCs w:val="22"/>
        </w:rPr>
      </w:pPr>
      <w:r w:rsidRPr="00635CDC">
        <w:rPr>
          <w:sz w:val="19"/>
          <w:u w:color="808080"/>
        </w:rPr>
        <w:t>3.2.2.</w:t>
      </w:r>
      <w:r>
        <w:rPr>
          <w:rFonts w:asciiTheme="minorHAnsi" w:eastAsiaTheme="minorEastAsia" w:hAnsiTheme="minorHAnsi" w:cstheme="minorBidi"/>
          <w:sz w:val="22"/>
          <w:szCs w:val="22"/>
        </w:rPr>
        <w:tab/>
      </w:r>
      <w:r w:rsidRPr="00635CDC">
        <w:rPr>
          <w:sz w:val="19"/>
          <w:u w:color="808080"/>
        </w:rPr>
        <w:t>Low Fuel Price View</w:t>
      </w:r>
      <w:r>
        <w:rPr>
          <w:webHidden/>
        </w:rPr>
        <w:tab/>
      </w:r>
      <w:r w:rsidR="005227E0">
        <w:rPr>
          <w:webHidden/>
        </w:rPr>
        <w:t>23</w:t>
      </w:r>
    </w:p>
    <w:p w:rsidR="00BF0B15" w:rsidRDefault="00BF0B15">
      <w:pPr>
        <w:pStyle w:val="TOC3"/>
        <w:rPr>
          <w:rFonts w:asciiTheme="minorHAnsi" w:eastAsiaTheme="minorEastAsia" w:hAnsiTheme="minorHAnsi" w:cstheme="minorBidi"/>
          <w:sz w:val="22"/>
          <w:szCs w:val="22"/>
        </w:rPr>
      </w:pPr>
      <w:r w:rsidRPr="00635CDC">
        <w:rPr>
          <w:sz w:val="19"/>
          <w:u w:color="808080"/>
        </w:rPr>
        <w:t>3.2.3.</w:t>
      </w:r>
      <w:r>
        <w:rPr>
          <w:rFonts w:asciiTheme="minorHAnsi" w:eastAsiaTheme="minorEastAsia" w:hAnsiTheme="minorHAnsi" w:cstheme="minorBidi"/>
          <w:sz w:val="22"/>
          <w:szCs w:val="22"/>
        </w:rPr>
        <w:tab/>
      </w:r>
      <w:r w:rsidRPr="00635CDC">
        <w:rPr>
          <w:sz w:val="19"/>
          <w:u w:color="808080"/>
        </w:rPr>
        <w:t>Moderate Fuel Price View</w:t>
      </w:r>
      <w:r>
        <w:rPr>
          <w:webHidden/>
        </w:rPr>
        <w:tab/>
      </w:r>
      <w:r w:rsidR="005227E0">
        <w:rPr>
          <w:webHidden/>
        </w:rPr>
        <w:t>25</w:t>
      </w:r>
    </w:p>
    <w:p w:rsidR="00BF0B15" w:rsidRDefault="00BF0B15">
      <w:pPr>
        <w:pStyle w:val="TOC3"/>
        <w:rPr>
          <w:rFonts w:asciiTheme="minorHAnsi" w:eastAsiaTheme="minorEastAsia" w:hAnsiTheme="minorHAnsi" w:cstheme="minorBidi"/>
          <w:sz w:val="22"/>
          <w:szCs w:val="22"/>
        </w:rPr>
      </w:pPr>
      <w:r w:rsidRPr="00635CDC">
        <w:rPr>
          <w:sz w:val="19"/>
          <w:u w:color="808080"/>
        </w:rPr>
        <w:t>3.2.4.</w:t>
      </w:r>
      <w:r>
        <w:rPr>
          <w:rFonts w:asciiTheme="minorHAnsi" w:eastAsiaTheme="minorEastAsia" w:hAnsiTheme="minorHAnsi" w:cstheme="minorBidi"/>
          <w:sz w:val="22"/>
          <w:szCs w:val="22"/>
        </w:rPr>
        <w:tab/>
      </w:r>
      <w:r w:rsidRPr="00635CDC">
        <w:rPr>
          <w:sz w:val="19"/>
          <w:u w:color="808080"/>
        </w:rPr>
        <w:t>High Fuel Price View</w:t>
      </w:r>
      <w:r>
        <w:rPr>
          <w:webHidden/>
        </w:rPr>
        <w:tab/>
      </w:r>
      <w:r w:rsidR="005227E0">
        <w:rPr>
          <w:webHidden/>
        </w:rPr>
        <w:t>27</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3.3.</w:t>
      </w:r>
      <w:r>
        <w:rPr>
          <w:rFonts w:asciiTheme="minorHAnsi" w:eastAsiaTheme="minorEastAsia" w:hAnsiTheme="minorHAnsi" w:cstheme="minorBidi"/>
          <w:smallCaps w:val="0"/>
          <w:sz w:val="22"/>
          <w:szCs w:val="22"/>
        </w:rPr>
        <w:tab/>
      </w:r>
      <w:r w:rsidRPr="00635CDC">
        <w:rPr>
          <w:sz w:val="19"/>
          <w:u w:color="808080"/>
        </w:rPr>
        <w:t>Gas Price Volatility</w:t>
      </w:r>
      <w:r>
        <w:rPr>
          <w:webHidden/>
        </w:rPr>
        <w:tab/>
      </w:r>
      <w:r w:rsidR="005227E0">
        <w:rPr>
          <w:webHidden/>
        </w:rPr>
        <w:t>29</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3.4.</w:t>
      </w:r>
      <w:r>
        <w:rPr>
          <w:rFonts w:asciiTheme="minorHAnsi" w:eastAsiaTheme="minorEastAsia" w:hAnsiTheme="minorHAnsi" w:cstheme="minorBidi"/>
          <w:smallCaps w:val="0"/>
          <w:sz w:val="22"/>
          <w:szCs w:val="22"/>
        </w:rPr>
        <w:tab/>
      </w:r>
      <w:r w:rsidRPr="00635CDC">
        <w:rPr>
          <w:sz w:val="19"/>
          <w:u w:color="808080"/>
        </w:rPr>
        <w:t>Comparison of Budget 2013 to Budget 2012</w:t>
      </w:r>
      <w:r>
        <w:rPr>
          <w:webHidden/>
        </w:rPr>
        <w:tab/>
      </w:r>
      <w:r w:rsidR="005227E0">
        <w:rPr>
          <w:webHidden/>
        </w:rPr>
        <w:t>30</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3.5.</w:t>
      </w:r>
      <w:r>
        <w:rPr>
          <w:rFonts w:asciiTheme="minorHAnsi" w:eastAsiaTheme="minorEastAsia" w:hAnsiTheme="minorHAnsi" w:cstheme="minorBidi"/>
          <w:smallCaps w:val="0"/>
          <w:sz w:val="22"/>
          <w:szCs w:val="22"/>
        </w:rPr>
        <w:tab/>
      </w:r>
      <w:r w:rsidRPr="00635CDC">
        <w:rPr>
          <w:sz w:val="19"/>
          <w:u w:color="808080"/>
        </w:rPr>
        <w:t>Impact of CO</w:t>
      </w:r>
      <w:r w:rsidRPr="00635CDC">
        <w:rPr>
          <w:sz w:val="19"/>
          <w:u w:color="808080"/>
          <w:vertAlign w:val="subscript"/>
        </w:rPr>
        <w:t>2</w:t>
      </w:r>
      <w:r w:rsidRPr="00635CDC">
        <w:rPr>
          <w:sz w:val="19"/>
          <w:u w:color="808080"/>
        </w:rPr>
        <w:t xml:space="preserve"> Stringency on Natural Gas Prices</w:t>
      </w:r>
      <w:r>
        <w:rPr>
          <w:webHidden/>
        </w:rPr>
        <w:tab/>
      </w:r>
      <w:r w:rsidR="005227E0">
        <w:rPr>
          <w:webHidden/>
        </w:rPr>
        <w:t>31</w:t>
      </w:r>
    </w:p>
    <w:p w:rsidR="00BF0B15" w:rsidRDefault="00BF0B15">
      <w:pPr>
        <w:pStyle w:val="TOC1"/>
        <w:rPr>
          <w:rFonts w:asciiTheme="minorHAnsi" w:eastAsiaTheme="minorEastAsia" w:hAnsiTheme="minorHAnsi" w:cstheme="minorBidi"/>
          <w:caps w:val="0"/>
          <w:color w:val="auto"/>
          <w:szCs w:val="22"/>
        </w:rPr>
      </w:pPr>
      <w:r w:rsidRPr="00635CDC">
        <w:rPr>
          <w:sz w:val="19"/>
          <w:u w:color="808080"/>
        </w:rPr>
        <w:t>4.</w:t>
      </w:r>
      <w:r>
        <w:rPr>
          <w:rFonts w:asciiTheme="minorHAnsi" w:eastAsiaTheme="minorEastAsia" w:hAnsiTheme="minorHAnsi" w:cstheme="minorBidi"/>
          <w:caps w:val="0"/>
          <w:color w:val="auto"/>
          <w:szCs w:val="22"/>
        </w:rPr>
        <w:tab/>
      </w:r>
      <w:r w:rsidRPr="00635CDC">
        <w:rPr>
          <w:sz w:val="19"/>
          <w:u w:color="808080"/>
        </w:rPr>
        <w:t>CRUDE OIL OUTLOOK</w:t>
      </w:r>
      <w:r>
        <w:rPr>
          <w:webHidden/>
        </w:rPr>
        <w:tab/>
      </w:r>
      <w:r w:rsidR="005227E0">
        <w:rPr>
          <w:webHidden/>
        </w:rPr>
        <w:t>34</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4.1.</w:t>
      </w:r>
      <w:r>
        <w:rPr>
          <w:rFonts w:asciiTheme="minorHAnsi" w:eastAsiaTheme="minorEastAsia" w:hAnsiTheme="minorHAnsi" w:cstheme="minorBidi"/>
          <w:smallCaps w:val="0"/>
          <w:sz w:val="22"/>
          <w:szCs w:val="22"/>
        </w:rPr>
        <w:tab/>
      </w:r>
      <w:r w:rsidRPr="00635CDC">
        <w:rPr>
          <w:sz w:val="19"/>
          <w:u w:color="808080"/>
        </w:rPr>
        <w:t>Key Market Drivers</w:t>
      </w:r>
      <w:r>
        <w:rPr>
          <w:webHidden/>
        </w:rPr>
        <w:tab/>
      </w:r>
      <w:r w:rsidR="005227E0">
        <w:rPr>
          <w:webHidden/>
        </w:rPr>
        <w:t>36</w:t>
      </w:r>
    </w:p>
    <w:p w:rsidR="00BF0B15" w:rsidRDefault="00BF0B15">
      <w:pPr>
        <w:pStyle w:val="TOC3"/>
        <w:rPr>
          <w:rFonts w:asciiTheme="minorHAnsi" w:eastAsiaTheme="minorEastAsia" w:hAnsiTheme="minorHAnsi" w:cstheme="minorBidi"/>
          <w:sz w:val="22"/>
          <w:szCs w:val="22"/>
        </w:rPr>
      </w:pPr>
      <w:r w:rsidRPr="00635CDC">
        <w:rPr>
          <w:sz w:val="19"/>
          <w:u w:color="808080"/>
        </w:rPr>
        <w:t>4.1.1.</w:t>
      </w:r>
      <w:r>
        <w:rPr>
          <w:rFonts w:asciiTheme="minorHAnsi" w:eastAsiaTheme="minorEastAsia" w:hAnsiTheme="minorHAnsi" w:cstheme="minorBidi"/>
          <w:sz w:val="22"/>
          <w:szCs w:val="22"/>
        </w:rPr>
        <w:tab/>
      </w:r>
      <w:r w:rsidRPr="00635CDC">
        <w:rPr>
          <w:sz w:val="19"/>
          <w:u w:color="808080"/>
        </w:rPr>
        <w:t>Supply</w:t>
      </w:r>
      <w:r>
        <w:rPr>
          <w:webHidden/>
        </w:rPr>
        <w:tab/>
      </w:r>
      <w:r w:rsidR="005227E0">
        <w:rPr>
          <w:webHidden/>
        </w:rPr>
        <w:t>36</w:t>
      </w:r>
    </w:p>
    <w:p w:rsidR="00BF0B15" w:rsidRDefault="00BF0B15">
      <w:pPr>
        <w:pStyle w:val="TOC3"/>
        <w:rPr>
          <w:rFonts w:asciiTheme="minorHAnsi" w:eastAsiaTheme="minorEastAsia" w:hAnsiTheme="minorHAnsi" w:cstheme="minorBidi"/>
          <w:sz w:val="22"/>
          <w:szCs w:val="22"/>
        </w:rPr>
      </w:pPr>
      <w:r w:rsidRPr="00635CDC">
        <w:rPr>
          <w:sz w:val="19"/>
          <w:u w:color="808080"/>
        </w:rPr>
        <w:t>4.1.2.</w:t>
      </w:r>
      <w:r>
        <w:rPr>
          <w:rFonts w:asciiTheme="minorHAnsi" w:eastAsiaTheme="minorEastAsia" w:hAnsiTheme="minorHAnsi" w:cstheme="minorBidi"/>
          <w:sz w:val="22"/>
          <w:szCs w:val="22"/>
        </w:rPr>
        <w:tab/>
      </w:r>
      <w:r w:rsidRPr="00635CDC">
        <w:rPr>
          <w:sz w:val="19"/>
          <w:u w:color="808080"/>
        </w:rPr>
        <w:t>Demand</w:t>
      </w:r>
      <w:r>
        <w:rPr>
          <w:webHidden/>
        </w:rPr>
        <w:tab/>
      </w:r>
      <w:r w:rsidR="005227E0">
        <w:rPr>
          <w:webHidden/>
        </w:rPr>
        <w:t>37</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4.2.</w:t>
      </w:r>
      <w:r>
        <w:rPr>
          <w:rFonts w:asciiTheme="minorHAnsi" w:eastAsiaTheme="minorEastAsia" w:hAnsiTheme="minorHAnsi" w:cstheme="minorBidi"/>
          <w:smallCaps w:val="0"/>
          <w:sz w:val="22"/>
          <w:szCs w:val="22"/>
        </w:rPr>
        <w:tab/>
      </w:r>
      <w:r w:rsidRPr="00635CDC">
        <w:rPr>
          <w:sz w:val="19"/>
          <w:u w:color="808080"/>
        </w:rPr>
        <w:t>Crude Oil Prices</w:t>
      </w:r>
      <w:r>
        <w:rPr>
          <w:webHidden/>
        </w:rPr>
        <w:tab/>
      </w:r>
      <w:r w:rsidR="005227E0">
        <w:rPr>
          <w:webHidden/>
        </w:rPr>
        <w:t>38</w:t>
      </w:r>
    </w:p>
    <w:p w:rsidR="00BF0B15" w:rsidRDefault="00BF0B15">
      <w:pPr>
        <w:pStyle w:val="TOC1"/>
        <w:rPr>
          <w:rFonts w:asciiTheme="minorHAnsi" w:eastAsiaTheme="minorEastAsia" w:hAnsiTheme="minorHAnsi" w:cstheme="minorBidi"/>
          <w:caps w:val="0"/>
          <w:color w:val="auto"/>
          <w:szCs w:val="22"/>
        </w:rPr>
      </w:pPr>
      <w:r w:rsidRPr="00635CDC">
        <w:rPr>
          <w:sz w:val="19"/>
          <w:u w:color="808080"/>
        </w:rPr>
        <w:t>5.</w:t>
      </w:r>
      <w:r>
        <w:rPr>
          <w:rFonts w:asciiTheme="minorHAnsi" w:eastAsiaTheme="minorEastAsia" w:hAnsiTheme="minorHAnsi" w:cstheme="minorBidi"/>
          <w:caps w:val="0"/>
          <w:color w:val="auto"/>
          <w:szCs w:val="22"/>
        </w:rPr>
        <w:tab/>
      </w:r>
      <w:r w:rsidRPr="00635CDC">
        <w:rPr>
          <w:sz w:val="19"/>
          <w:u w:color="808080"/>
        </w:rPr>
        <w:t>Coal OUTLOOK</w:t>
      </w:r>
      <w:r>
        <w:rPr>
          <w:webHidden/>
        </w:rPr>
        <w:tab/>
      </w:r>
      <w:r w:rsidR="005227E0">
        <w:rPr>
          <w:webHidden/>
        </w:rPr>
        <w:t>40</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5.1.</w:t>
      </w:r>
      <w:r>
        <w:rPr>
          <w:rFonts w:asciiTheme="minorHAnsi" w:eastAsiaTheme="minorEastAsia" w:hAnsiTheme="minorHAnsi" w:cstheme="minorBidi"/>
          <w:smallCaps w:val="0"/>
          <w:sz w:val="22"/>
          <w:szCs w:val="22"/>
        </w:rPr>
        <w:tab/>
      </w:r>
      <w:r w:rsidRPr="00635CDC">
        <w:rPr>
          <w:sz w:val="19"/>
          <w:u w:color="808080"/>
        </w:rPr>
        <w:t>Key Market Drivers</w:t>
      </w:r>
      <w:r>
        <w:rPr>
          <w:webHidden/>
        </w:rPr>
        <w:tab/>
      </w:r>
      <w:r w:rsidR="005227E0">
        <w:rPr>
          <w:webHidden/>
        </w:rPr>
        <w:t>40</w:t>
      </w:r>
    </w:p>
    <w:p w:rsidR="00BF0B15" w:rsidRDefault="00BF0B15">
      <w:pPr>
        <w:pStyle w:val="TOC3"/>
        <w:rPr>
          <w:rFonts w:asciiTheme="minorHAnsi" w:eastAsiaTheme="minorEastAsia" w:hAnsiTheme="minorHAnsi" w:cstheme="minorBidi"/>
          <w:sz w:val="22"/>
          <w:szCs w:val="22"/>
        </w:rPr>
      </w:pPr>
      <w:r w:rsidRPr="00635CDC">
        <w:rPr>
          <w:sz w:val="19"/>
          <w:u w:color="808080"/>
        </w:rPr>
        <w:t>5.1.1.</w:t>
      </w:r>
      <w:r>
        <w:rPr>
          <w:rFonts w:asciiTheme="minorHAnsi" w:eastAsiaTheme="minorEastAsia" w:hAnsiTheme="minorHAnsi" w:cstheme="minorBidi"/>
          <w:sz w:val="22"/>
          <w:szCs w:val="22"/>
        </w:rPr>
        <w:tab/>
      </w:r>
      <w:r w:rsidRPr="00635CDC">
        <w:rPr>
          <w:sz w:val="19"/>
          <w:u w:color="808080"/>
        </w:rPr>
        <w:t>Outlook for Coal Capacity</w:t>
      </w:r>
      <w:r>
        <w:rPr>
          <w:webHidden/>
        </w:rPr>
        <w:tab/>
      </w:r>
      <w:r w:rsidR="005227E0">
        <w:rPr>
          <w:webHidden/>
        </w:rPr>
        <w:t>40</w:t>
      </w:r>
    </w:p>
    <w:p w:rsidR="00BF0B15" w:rsidRDefault="00BF0B15">
      <w:pPr>
        <w:pStyle w:val="TOC3"/>
        <w:rPr>
          <w:rFonts w:asciiTheme="minorHAnsi" w:eastAsiaTheme="minorEastAsia" w:hAnsiTheme="minorHAnsi" w:cstheme="minorBidi"/>
          <w:sz w:val="22"/>
          <w:szCs w:val="22"/>
        </w:rPr>
      </w:pPr>
      <w:r w:rsidRPr="00635CDC">
        <w:rPr>
          <w:sz w:val="19"/>
          <w:u w:color="808080"/>
        </w:rPr>
        <w:t>5.1.2.</w:t>
      </w:r>
      <w:r>
        <w:rPr>
          <w:rFonts w:asciiTheme="minorHAnsi" w:eastAsiaTheme="minorEastAsia" w:hAnsiTheme="minorHAnsi" w:cstheme="minorBidi"/>
          <w:sz w:val="22"/>
          <w:szCs w:val="22"/>
        </w:rPr>
        <w:tab/>
      </w:r>
      <w:r w:rsidRPr="00635CDC">
        <w:rPr>
          <w:sz w:val="19"/>
          <w:u w:color="808080"/>
        </w:rPr>
        <w:t>Regulatory Framework for Coal Capacity</w:t>
      </w:r>
      <w:r>
        <w:rPr>
          <w:webHidden/>
        </w:rPr>
        <w:tab/>
      </w:r>
      <w:r w:rsidR="005227E0">
        <w:rPr>
          <w:webHidden/>
        </w:rPr>
        <w:t>41</w:t>
      </w:r>
    </w:p>
    <w:p w:rsidR="00BF0B15" w:rsidRDefault="00BF0B15">
      <w:pPr>
        <w:pStyle w:val="TOC3"/>
        <w:rPr>
          <w:rFonts w:asciiTheme="minorHAnsi" w:eastAsiaTheme="minorEastAsia" w:hAnsiTheme="minorHAnsi" w:cstheme="minorBidi"/>
          <w:sz w:val="22"/>
          <w:szCs w:val="22"/>
        </w:rPr>
      </w:pPr>
      <w:r w:rsidRPr="00635CDC">
        <w:rPr>
          <w:sz w:val="19"/>
          <w:u w:color="808080"/>
        </w:rPr>
        <w:t>5.1.3.</w:t>
      </w:r>
      <w:r>
        <w:rPr>
          <w:rFonts w:asciiTheme="minorHAnsi" w:eastAsiaTheme="minorEastAsia" w:hAnsiTheme="minorHAnsi" w:cstheme="minorBidi"/>
          <w:sz w:val="22"/>
          <w:szCs w:val="22"/>
        </w:rPr>
        <w:tab/>
      </w:r>
      <w:r w:rsidRPr="00635CDC">
        <w:rPr>
          <w:sz w:val="19"/>
          <w:u w:color="808080"/>
        </w:rPr>
        <w:t>Retirements of Coal-fired Generators</w:t>
      </w:r>
      <w:r>
        <w:rPr>
          <w:webHidden/>
        </w:rPr>
        <w:tab/>
      </w:r>
      <w:r w:rsidR="005227E0">
        <w:rPr>
          <w:webHidden/>
        </w:rPr>
        <w:t>48</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5.2.</w:t>
      </w:r>
      <w:r>
        <w:rPr>
          <w:rFonts w:asciiTheme="minorHAnsi" w:eastAsiaTheme="minorEastAsia" w:hAnsiTheme="minorHAnsi" w:cstheme="minorBidi"/>
          <w:smallCaps w:val="0"/>
          <w:sz w:val="22"/>
          <w:szCs w:val="22"/>
        </w:rPr>
        <w:tab/>
      </w:r>
      <w:r w:rsidRPr="00635CDC">
        <w:rPr>
          <w:sz w:val="19"/>
          <w:u w:color="808080"/>
        </w:rPr>
        <w:t>Outlook for Major Coal Basins</w:t>
      </w:r>
      <w:r>
        <w:rPr>
          <w:webHidden/>
        </w:rPr>
        <w:tab/>
      </w:r>
      <w:r w:rsidR="005227E0">
        <w:rPr>
          <w:webHidden/>
        </w:rPr>
        <w:t>49</w:t>
      </w:r>
    </w:p>
    <w:p w:rsidR="00BF0B15" w:rsidRDefault="00BF0B15">
      <w:pPr>
        <w:pStyle w:val="TOC3"/>
        <w:rPr>
          <w:rFonts w:asciiTheme="minorHAnsi" w:eastAsiaTheme="minorEastAsia" w:hAnsiTheme="minorHAnsi" w:cstheme="minorBidi"/>
          <w:sz w:val="22"/>
          <w:szCs w:val="22"/>
        </w:rPr>
      </w:pPr>
      <w:r w:rsidRPr="00635CDC">
        <w:rPr>
          <w:sz w:val="19"/>
          <w:u w:color="808080"/>
        </w:rPr>
        <w:t>5.2.1.</w:t>
      </w:r>
      <w:r>
        <w:rPr>
          <w:rFonts w:asciiTheme="minorHAnsi" w:eastAsiaTheme="minorEastAsia" w:hAnsiTheme="minorHAnsi" w:cstheme="minorBidi"/>
          <w:sz w:val="22"/>
          <w:szCs w:val="22"/>
        </w:rPr>
        <w:tab/>
      </w:r>
      <w:r w:rsidRPr="00635CDC">
        <w:rPr>
          <w:sz w:val="19"/>
          <w:u w:color="808080"/>
        </w:rPr>
        <w:t>Fuel Switching Options – Central Appalachian to Illinois Basin or PRB</w:t>
      </w:r>
      <w:r>
        <w:rPr>
          <w:webHidden/>
        </w:rPr>
        <w:tab/>
      </w:r>
      <w:r w:rsidR="005227E0">
        <w:rPr>
          <w:webHidden/>
        </w:rPr>
        <w:t>53</w:t>
      </w:r>
    </w:p>
    <w:p w:rsidR="00BF0B15" w:rsidRDefault="00BF0B15">
      <w:pPr>
        <w:pStyle w:val="TOC3"/>
        <w:rPr>
          <w:rFonts w:asciiTheme="minorHAnsi" w:eastAsiaTheme="minorEastAsia" w:hAnsiTheme="minorHAnsi" w:cstheme="minorBidi"/>
          <w:sz w:val="22"/>
          <w:szCs w:val="22"/>
        </w:rPr>
      </w:pPr>
      <w:r w:rsidRPr="00635CDC">
        <w:rPr>
          <w:sz w:val="19"/>
          <w:u w:color="808080"/>
        </w:rPr>
        <w:t>5.2.2.</w:t>
      </w:r>
      <w:r>
        <w:rPr>
          <w:rFonts w:asciiTheme="minorHAnsi" w:eastAsiaTheme="minorEastAsia" w:hAnsiTheme="minorHAnsi" w:cstheme="minorBidi"/>
          <w:sz w:val="22"/>
          <w:szCs w:val="22"/>
        </w:rPr>
        <w:tab/>
      </w:r>
      <w:r w:rsidRPr="00635CDC">
        <w:rPr>
          <w:sz w:val="19"/>
          <w:u w:color="808080"/>
        </w:rPr>
        <w:t>Mine Permitting Challenges</w:t>
      </w:r>
      <w:r>
        <w:rPr>
          <w:webHidden/>
        </w:rPr>
        <w:tab/>
      </w:r>
      <w:r w:rsidR="005227E0">
        <w:rPr>
          <w:webHidden/>
        </w:rPr>
        <w:t>54</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5.3.</w:t>
      </w:r>
      <w:r>
        <w:rPr>
          <w:rFonts w:asciiTheme="minorHAnsi" w:eastAsiaTheme="minorEastAsia" w:hAnsiTheme="minorHAnsi" w:cstheme="minorBidi"/>
          <w:smallCaps w:val="0"/>
          <w:sz w:val="22"/>
          <w:szCs w:val="22"/>
        </w:rPr>
        <w:tab/>
      </w:r>
      <w:r w:rsidRPr="00635CDC">
        <w:rPr>
          <w:sz w:val="19"/>
          <w:u w:color="808080"/>
        </w:rPr>
        <w:t>Coal Characteristics and Mine-mouth Coal Prices</w:t>
      </w:r>
      <w:r>
        <w:rPr>
          <w:webHidden/>
        </w:rPr>
        <w:tab/>
      </w:r>
      <w:r w:rsidR="005227E0">
        <w:rPr>
          <w:webHidden/>
        </w:rPr>
        <w:t>55</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5.4.</w:t>
      </w:r>
      <w:r>
        <w:rPr>
          <w:rFonts w:asciiTheme="minorHAnsi" w:eastAsiaTheme="minorEastAsia" w:hAnsiTheme="minorHAnsi" w:cstheme="minorBidi"/>
          <w:smallCaps w:val="0"/>
          <w:sz w:val="22"/>
          <w:szCs w:val="22"/>
        </w:rPr>
        <w:tab/>
      </w:r>
      <w:r w:rsidRPr="00635CDC">
        <w:rPr>
          <w:sz w:val="19"/>
          <w:u w:color="808080"/>
        </w:rPr>
        <w:t>Comparison of Budget 2013 to Budget 2012</w:t>
      </w:r>
      <w:r>
        <w:rPr>
          <w:webHidden/>
        </w:rPr>
        <w:tab/>
      </w:r>
      <w:r w:rsidR="005227E0">
        <w:rPr>
          <w:webHidden/>
        </w:rPr>
        <w:t>57</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5.5.</w:t>
      </w:r>
      <w:r>
        <w:rPr>
          <w:rFonts w:asciiTheme="minorHAnsi" w:eastAsiaTheme="minorEastAsia" w:hAnsiTheme="minorHAnsi" w:cstheme="minorBidi"/>
          <w:smallCaps w:val="0"/>
          <w:sz w:val="22"/>
          <w:szCs w:val="22"/>
        </w:rPr>
        <w:tab/>
      </w:r>
      <w:r w:rsidRPr="00635CDC">
        <w:rPr>
          <w:sz w:val="19"/>
          <w:u w:color="808080"/>
        </w:rPr>
        <w:t>Impact of CO</w:t>
      </w:r>
      <w:r w:rsidRPr="00635CDC">
        <w:rPr>
          <w:sz w:val="19"/>
          <w:u w:color="808080"/>
          <w:vertAlign w:val="subscript"/>
        </w:rPr>
        <w:t>2</w:t>
      </w:r>
      <w:r w:rsidRPr="00635CDC">
        <w:rPr>
          <w:sz w:val="19"/>
          <w:u w:color="808080"/>
        </w:rPr>
        <w:t xml:space="preserve"> Prices on Mine-mouth Coal Prices</w:t>
      </w:r>
      <w:r>
        <w:rPr>
          <w:webHidden/>
        </w:rPr>
        <w:tab/>
      </w:r>
      <w:r w:rsidR="005227E0">
        <w:rPr>
          <w:webHidden/>
        </w:rPr>
        <w:t>59</w:t>
      </w:r>
    </w:p>
    <w:p w:rsidR="00BF0B15" w:rsidRDefault="00BF0B15">
      <w:pPr>
        <w:pStyle w:val="TOC1"/>
        <w:rPr>
          <w:rFonts w:asciiTheme="minorHAnsi" w:eastAsiaTheme="minorEastAsia" w:hAnsiTheme="minorHAnsi" w:cstheme="minorBidi"/>
          <w:caps w:val="0"/>
          <w:color w:val="auto"/>
          <w:szCs w:val="22"/>
        </w:rPr>
      </w:pPr>
      <w:r w:rsidRPr="00635CDC">
        <w:rPr>
          <w:sz w:val="19"/>
          <w:u w:color="808080"/>
        </w:rPr>
        <w:t>Appendix A Fuel PRICE Forecasts</w:t>
      </w:r>
      <w:r>
        <w:rPr>
          <w:webHidden/>
        </w:rPr>
        <w:tab/>
      </w:r>
      <w:r w:rsidR="005227E0">
        <w:rPr>
          <w:webHidden/>
        </w:rPr>
        <w:t>61</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A.1</w:t>
      </w:r>
      <w:r>
        <w:rPr>
          <w:rFonts w:asciiTheme="minorHAnsi" w:eastAsiaTheme="minorEastAsia" w:hAnsiTheme="minorHAnsi" w:cstheme="minorBidi"/>
          <w:smallCaps w:val="0"/>
          <w:sz w:val="22"/>
          <w:szCs w:val="22"/>
        </w:rPr>
        <w:tab/>
      </w:r>
      <w:r w:rsidRPr="00635CDC">
        <w:rPr>
          <w:sz w:val="19"/>
          <w:u w:color="808080"/>
        </w:rPr>
        <w:t>Natural Gas Prices</w:t>
      </w:r>
      <w:r>
        <w:rPr>
          <w:webHidden/>
        </w:rPr>
        <w:tab/>
      </w:r>
      <w:r w:rsidR="005227E0">
        <w:rPr>
          <w:webHidden/>
        </w:rPr>
        <w:t>61</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A.2</w:t>
      </w:r>
      <w:r>
        <w:rPr>
          <w:rFonts w:asciiTheme="minorHAnsi" w:eastAsiaTheme="minorEastAsia" w:hAnsiTheme="minorHAnsi" w:cstheme="minorBidi"/>
          <w:smallCaps w:val="0"/>
          <w:sz w:val="22"/>
          <w:szCs w:val="22"/>
        </w:rPr>
        <w:tab/>
      </w:r>
      <w:r w:rsidRPr="00635CDC">
        <w:rPr>
          <w:sz w:val="19"/>
          <w:u w:color="808080"/>
        </w:rPr>
        <w:t>Coal Prices</w:t>
      </w:r>
      <w:r>
        <w:rPr>
          <w:webHidden/>
        </w:rPr>
        <w:tab/>
      </w:r>
      <w:r w:rsidR="005227E0">
        <w:rPr>
          <w:webHidden/>
        </w:rPr>
        <w:t>62</w:t>
      </w:r>
    </w:p>
    <w:p w:rsidR="00BF0B15" w:rsidRDefault="00BF0B15">
      <w:pPr>
        <w:pStyle w:val="TOC1"/>
        <w:rPr>
          <w:rFonts w:asciiTheme="minorHAnsi" w:eastAsiaTheme="minorEastAsia" w:hAnsiTheme="minorHAnsi" w:cstheme="minorBidi"/>
          <w:caps w:val="0"/>
          <w:color w:val="auto"/>
          <w:szCs w:val="22"/>
        </w:rPr>
      </w:pPr>
      <w:r w:rsidRPr="00635CDC">
        <w:rPr>
          <w:sz w:val="19"/>
          <w:u w:color="808080"/>
        </w:rPr>
        <w:t>Appendix B Fuel Demand and Production FORECASTS</w:t>
      </w:r>
      <w:r>
        <w:rPr>
          <w:webHidden/>
        </w:rPr>
        <w:tab/>
      </w:r>
      <w:r w:rsidR="005227E0">
        <w:rPr>
          <w:webHidden/>
        </w:rPr>
        <w:t>65</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B.1</w:t>
      </w:r>
      <w:r>
        <w:rPr>
          <w:rFonts w:asciiTheme="minorHAnsi" w:eastAsiaTheme="minorEastAsia" w:hAnsiTheme="minorHAnsi" w:cstheme="minorBidi"/>
          <w:smallCaps w:val="0"/>
          <w:sz w:val="22"/>
          <w:szCs w:val="22"/>
        </w:rPr>
        <w:tab/>
      </w:r>
      <w:r w:rsidRPr="00635CDC">
        <w:rPr>
          <w:sz w:val="19"/>
          <w:u w:color="808080"/>
        </w:rPr>
        <w:t>Natural Gas Demand</w:t>
      </w:r>
      <w:r>
        <w:rPr>
          <w:webHidden/>
        </w:rPr>
        <w:tab/>
      </w:r>
      <w:r w:rsidR="005227E0">
        <w:rPr>
          <w:webHidden/>
        </w:rPr>
        <w:t>65</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B.2</w:t>
      </w:r>
      <w:r>
        <w:rPr>
          <w:rFonts w:asciiTheme="minorHAnsi" w:eastAsiaTheme="minorEastAsia" w:hAnsiTheme="minorHAnsi" w:cstheme="minorBidi"/>
          <w:smallCaps w:val="0"/>
          <w:sz w:val="22"/>
          <w:szCs w:val="22"/>
        </w:rPr>
        <w:tab/>
      </w:r>
      <w:r w:rsidRPr="00635CDC">
        <w:rPr>
          <w:sz w:val="19"/>
          <w:u w:color="808080"/>
        </w:rPr>
        <w:t>Natural Gas Production</w:t>
      </w:r>
      <w:r>
        <w:rPr>
          <w:webHidden/>
        </w:rPr>
        <w:tab/>
      </w:r>
      <w:r w:rsidR="005227E0">
        <w:rPr>
          <w:webHidden/>
        </w:rPr>
        <w:t>67</w:t>
      </w:r>
    </w:p>
    <w:p w:rsidR="00BF0B15" w:rsidRDefault="00BF0B15">
      <w:pPr>
        <w:pStyle w:val="TOC2"/>
        <w:rPr>
          <w:rFonts w:asciiTheme="minorHAnsi" w:eastAsiaTheme="minorEastAsia" w:hAnsiTheme="minorHAnsi" w:cstheme="minorBidi"/>
          <w:smallCaps w:val="0"/>
          <w:sz w:val="22"/>
          <w:szCs w:val="22"/>
        </w:rPr>
      </w:pPr>
      <w:r w:rsidRPr="00635CDC">
        <w:rPr>
          <w:sz w:val="19"/>
          <w:u w:color="808080"/>
        </w:rPr>
        <w:t>B.3</w:t>
      </w:r>
      <w:r>
        <w:rPr>
          <w:rFonts w:asciiTheme="minorHAnsi" w:eastAsiaTheme="minorEastAsia" w:hAnsiTheme="minorHAnsi" w:cstheme="minorBidi"/>
          <w:smallCaps w:val="0"/>
          <w:sz w:val="22"/>
          <w:szCs w:val="22"/>
        </w:rPr>
        <w:tab/>
      </w:r>
      <w:r w:rsidRPr="00635CDC">
        <w:rPr>
          <w:sz w:val="19"/>
          <w:u w:color="808080"/>
        </w:rPr>
        <w:t>Coal Demand</w:t>
      </w:r>
      <w:r>
        <w:rPr>
          <w:webHidden/>
        </w:rPr>
        <w:tab/>
      </w:r>
      <w:r w:rsidR="005227E0">
        <w:rPr>
          <w:webHidden/>
        </w:rPr>
        <w:t>69</w:t>
      </w:r>
    </w:p>
    <w:p w:rsidR="00BF0B15" w:rsidRDefault="00BF0B15">
      <w:pPr>
        <w:pStyle w:val="TOC1"/>
        <w:rPr>
          <w:rFonts w:asciiTheme="minorHAnsi" w:eastAsiaTheme="minorEastAsia" w:hAnsiTheme="minorHAnsi" w:cstheme="minorBidi"/>
          <w:caps w:val="0"/>
          <w:color w:val="auto"/>
          <w:szCs w:val="22"/>
        </w:rPr>
      </w:pPr>
      <w:r w:rsidRPr="00635CDC">
        <w:rPr>
          <w:sz w:val="19"/>
          <w:u w:color="808080"/>
        </w:rPr>
        <w:t>Appendix C : MRN-NEEM Model</w:t>
      </w:r>
      <w:r>
        <w:rPr>
          <w:webHidden/>
        </w:rPr>
        <w:tab/>
      </w:r>
      <w:r w:rsidR="005227E0">
        <w:rPr>
          <w:webHidden/>
        </w:rPr>
        <w:t>70</w:t>
      </w:r>
    </w:p>
    <w:p w:rsidR="00C5174D" w:rsidRDefault="00C5174D" w:rsidP="00005134">
      <w:pPr>
        <w:tabs>
          <w:tab w:val="right" w:leader="dot" w:pos="7598"/>
          <w:tab w:val="right" w:pos="7920"/>
        </w:tabs>
      </w:pPr>
    </w:p>
    <w:p w:rsidR="00C5174D" w:rsidRDefault="00C5174D" w:rsidP="00005134">
      <w:pPr>
        <w:ind w:right="22"/>
      </w:pPr>
    </w:p>
    <w:p w:rsidR="00C5174D" w:rsidRDefault="00C5174D" w:rsidP="005B232A">
      <w:pPr>
        <w:pStyle w:val="SectionHeading"/>
        <w:ind w:left="0"/>
        <w:rPr>
          <w:caps w:val="0"/>
        </w:rPr>
      </w:pPr>
      <w:r>
        <w:br w:type="page"/>
      </w:r>
      <w:r>
        <w:rPr>
          <w:caps w:val="0"/>
        </w:rPr>
        <w:t xml:space="preserve">Index </w:t>
      </w:r>
      <w:r w:rsidRPr="000564A7">
        <w:rPr>
          <w:caps w:val="0"/>
        </w:rPr>
        <w:t xml:space="preserve">of </w:t>
      </w:r>
      <w:r w:rsidR="008F346D">
        <w:rPr>
          <w:caps w:val="0"/>
        </w:rPr>
        <w:t>F</w:t>
      </w:r>
      <w:r>
        <w:rPr>
          <w:caps w:val="0"/>
        </w:rPr>
        <w:t xml:space="preserve">igures and </w:t>
      </w:r>
      <w:r w:rsidR="008F346D">
        <w:rPr>
          <w:caps w:val="0"/>
        </w:rPr>
        <w:t>T</w:t>
      </w:r>
      <w:r>
        <w:rPr>
          <w:caps w:val="0"/>
        </w:rPr>
        <w:t>ables</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  Budget 2013 Planning Scenarios</w:t>
      </w:r>
      <w:r>
        <w:rPr>
          <w:noProof/>
          <w:webHidden/>
        </w:rPr>
        <w:tab/>
      </w:r>
      <w:r w:rsidR="005227E0">
        <w:rPr>
          <w:noProof/>
          <w:webHidden/>
        </w:rPr>
        <w:t>6</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2:  U.S. Marketed Natural Gas Production and Wellhead Prices</w:t>
      </w:r>
      <w:r>
        <w:rPr>
          <w:noProof/>
          <w:webHidden/>
        </w:rPr>
        <w:tab/>
      </w:r>
      <w:r w:rsidR="005227E0">
        <w:rPr>
          <w:noProof/>
          <w:webHidden/>
        </w:rPr>
        <w:t>7</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3:  U.S. Shale Gas Plays, Lower 48 States</w:t>
      </w:r>
      <w:r>
        <w:rPr>
          <w:noProof/>
          <w:webHidden/>
        </w:rPr>
        <w:tab/>
      </w:r>
      <w:r w:rsidR="005227E0">
        <w:rPr>
          <w:noProof/>
          <w:webHidden/>
        </w:rPr>
        <w:t>10</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4:  Southwestern Energy’s Improving Well Performance in Marcellus Shale</w:t>
      </w:r>
      <w:r>
        <w:rPr>
          <w:noProof/>
          <w:webHidden/>
        </w:rPr>
        <w:tab/>
      </w:r>
      <w:r w:rsidR="005227E0">
        <w:rPr>
          <w:noProof/>
          <w:webHidden/>
        </w:rPr>
        <w:t>11</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5:  U.S. Drilling Rig Gas Count</w:t>
      </w:r>
      <w:r>
        <w:rPr>
          <w:noProof/>
          <w:webHidden/>
        </w:rPr>
        <w:tab/>
      </w:r>
      <w:r w:rsidR="005227E0">
        <w:rPr>
          <w:noProof/>
          <w:webHidden/>
        </w:rPr>
        <w:t>12</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6:  Estimated Range of Full Cycle Costs for Shale Gas (Moderate View)</w:t>
      </w:r>
      <w:r>
        <w:rPr>
          <w:noProof/>
          <w:webHidden/>
        </w:rPr>
        <w:tab/>
      </w:r>
      <w:r w:rsidR="005227E0">
        <w:rPr>
          <w:noProof/>
          <w:webHidden/>
        </w:rPr>
        <w:t>14</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7:  Electric Sector Natural Gas Use (Quads) - Existing CO</w:t>
      </w:r>
      <w:r w:rsidRPr="00635CDC">
        <w:rPr>
          <w:noProof/>
          <w:sz w:val="19"/>
          <w:u w:color="808080"/>
          <w:vertAlign w:val="subscript"/>
        </w:rPr>
        <w:t>2</w:t>
      </w:r>
      <w:r w:rsidRPr="00635CDC">
        <w:rPr>
          <w:noProof/>
          <w:sz w:val="19"/>
          <w:u w:color="808080"/>
        </w:rPr>
        <w:t xml:space="preserve"> Policy Views</w:t>
      </w:r>
      <w:r>
        <w:rPr>
          <w:noProof/>
          <w:webHidden/>
        </w:rPr>
        <w:tab/>
      </w:r>
      <w:r w:rsidR="005227E0">
        <w:rPr>
          <w:noProof/>
          <w:webHidden/>
        </w:rPr>
        <w:t>16</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8:  Sector Natural Gas Consumption (Quads) - Moderate Fuel Price View, Existing CO</w:t>
      </w:r>
      <w:r w:rsidRPr="00635CDC">
        <w:rPr>
          <w:noProof/>
          <w:sz w:val="19"/>
          <w:u w:color="808080"/>
          <w:vertAlign w:val="subscript"/>
        </w:rPr>
        <w:t>2</w:t>
      </w:r>
      <w:r w:rsidRPr="00635CDC">
        <w:rPr>
          <w:noProof/>
          <w:sz w:val="19"/>
          <w:u w:color="808080"/>
        </w:rPr>
        <w:t xml:space="preserve"> Policy</w:t>
      </w:r>
      <w:r>
        <w:rPr>
          <w:noProof/>
          <w:webHidden/>
        </w:rPr>
        <w:tab/>
      </w:r>
      <w:r w:rsidR="005227E0">
        <w:rPr>
          <w:noProof/>
          <w:webHidden/>
        </w:rPr>
        <w:t>17</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9</w:t>
      </w:r>
      <w:r w:rsidRPr="00635CDC">
        <w:rPr>
          <w:rFonts w:cs="Arial"/>
          <w:bCs/>
          <w:noProof/>
          <w:sz w:val="19"/>
          <w:u w:color="808080"/>
        </w:rPr>
        <w:t>:  Interaction of CRA Gas Models</w:t>
      </w:r>
      <w:r>
        <w:rPr>
          <w:noProof/>
          <w:webHidden/>
        </w:rPr>
        <w:tab/>
      </w:r>
      <w:r w:rsidR="005227E0">
        <w:rPr>
          <w:noProof/>
          <w:webHidden/>
        </w:rPr>
        <w:t>21</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10:  Henry Hub Natural Gas Prices – Budget 2013 Fuel Views (Existing Carbon Policy)</w:t>
      </w:r>
      <w:r>
        <w:rPr>
          <w:noProof/>
          <w:webHidden/>
        </w:rPr>
        <w:tab/>
      </w:r>
      <w:r w:rsidR="005227E0">
        <w:rPr>
          <w:noProof/>
          <w:webHidden/>
        </w:rPr>
        <w:t>23</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11:  Domestic Gas Production – Low Fuel Price View (Quads)</w:t>
      </w:r>
      <w:r>
        <w:rPr>
          <w:noProof/>
          <w:webHidden/>
        </w:rPr>
        <w:tab/>
      </w:r>
      <w:r w:rsidR="005227E0">
        <w:rPr>
          <w:noProof/>
          <w:webHidden/>
        </w:rPr>
        <w:t>24</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12:  Low Fuel Price View Estimate Natural Gas Supply Curve in 2020</w:t>
      </w:r>
      <w:r>
        <w:rPr>
          <w:noProof/>
          <w:webHidden/>
        </w:rPr>
        <w:tab/>
      </w:r>
      <w:r w:rsidR="005227E0">
        <w:rPr>
          <w:noProof/>
          <w:webHidden/>
        </w:rPr>
        <w:t>25</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13:  Domestic Gas Supply – Moderate Fuel Price View (Quads)</w:t>
      </w:r>
      <w:r>
        <w:rPr>
          <w:noProof/>
          <w:webHidden/>
        </w:rPr>
        <w:tab/>
      </w:r>
      <w:r w:rsidR="005227E0">
        <w:rPr>
          <w:noProof/>
          <w:webHidden/>
        </w:rPr>
        <w:t>26</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14:  Moderate Fuel Price View Estimate Natural Gas Supply Curve in 2020</w:t>
      </w:r>
      <w:r>
        <w:rPr>
          <w:noProof/>
          <w:webHidden/>
        </w:rPr>
        <w:tab/>
      </w:r>
      <w:r w:rsidR="005227E0">
        <w:rPr>
          <w:noProof/>
          <w:webHidden/>
        </w:rPr>
        <w:t>26</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15:  Domestic Gas Production – High Fuel Price View (Quads)</w:t>
      </w:r>
      <w:r>
        <w:rPr>
          <w:noProof/>
          <w:webHidden/>
        </w:rPr>
        <w:tab/>
      </w:r>
      <w:r w:rsidR="005227E0">
        <w:rPr>
          <w:noProof/>
          <w:webHidden/>
        </w:rPr>
        <w:t>28</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16:  High Fuel Price View Estimate Natural Gas Supply Curve in 2020</w:t>
      </w:r>
      <w:r>
        <w:rPr>
          <w:noProof/>
          <w:webHidden/>
        </w:rPr>
        <w:tab/>
      </w:r>
      <w:r w:rsidR="005227E0">
        <w:rPr>
          <w:noProof/>
          <w:webHidden/>
        </w:rPr>
        <w:t>28</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17:  Historical Henry Hub Natural Gas Prices</w:t>
      </w:r>
      <w:r>
        <w:rPr>
          <w:noProof/>
          <w:webHidden/>
        </w:rPr>
        <w:tab/>
      </w:r>
      <w:r w:rsidR="005227E0">
        <w:rPr>
          <w:noProof/>
          <w:webHidden/>
        </w:rPr>
        <w:t>29</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18:  Comparison of Budget 2013 and Budget 2012 Natural Gas Price Forecasts, Existing CO</w:t>
      </w:r>
      <w:r w:rsidRPr="00635CDC">
        <w:rPr>
          <w:noProof/>
          <w:sz w:val="19"/>
          <w:u w:color="808080"/>
          <w:vertAlign w:val="subscript"/>
        </w:rPr>
        <w:t>2</w:t>
      </w:r>
      <w:r>
        <w:rPr>
          <w:noProof/>
          <w:webHidden/>
        </w:rPr>
        <w:tab/>
      </w:r>
      <w:r w:rsidR="005227E0">
        <w:rPr>
          <w:noProof/>
          <w:webHidden/>
        </w:rPr>
        <w:t>30</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19:  Comparison of Budget 2013 and Budget 2012 Natural Gas Consumption Forecasts</w:t>
      </w:r>
      <w:r>
        <w:rPr>
          <w:noProof/>
          <w:webHidden/>
        </w:rPr>
        <w:tab/>
      </w:r>
      <w:r w:rsidR="005227E0">
        <w:rPr>
          <w:noProof/>
          <w:webHidden/>
        </w:rPr>
        <w:t>31</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20:  Comparison of LNG and Crude Oil Pricing</w:t>
      </w:r>
      <w:r>
        <w:rPr>
          <w:noProof/>
          <w:webHidden/>
        </w:rPr>
        <w:tab/>
      </w:r>
      <w:r w:rsidR="005227E0">
        <w:rPr>
          <w:noProof/>
          <w:webHidden/>
        </w:rPr>
        <w:t>35</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21:  Historical Coal Capacity Additions and Potential Future Additions</w:t>
      </w:r>
      <w:r>
        <w:rPr>
          <w:noProof/>
          <w:webHidden/>
        </w:rPr>
        <w:tab/>
      </w:r>
      <w:r w:rsidR="005227E0">
        <w:rPr>
          <w:noProof/>
          <w:webHidden/>
        </w:rPr>
        <w:t>41</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22:  Forecasted Cumulative Coal Retirements through 2022 by Scenario</w:t>
      </w:r>
      <w:r>
        <w:rPr>
          <w:noProof/>
          <w:webHidden/>
        </w:rPr>
        <w:tab/>
      </w:r>
      <w:r w:rsidR="005227E0">
        <w:rPr>
          <w:noProof/>
          <w:webHidden/>
        </w:rPr>
        <w:t>49</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lang w:val="fr-FR"/>
        </w:rPr>
        <w:t>Figure 23:  Recent Coal Prices ($/ton)</w:t>
      </w:r>
      <w:r>
        <w:rPr>
          <w:noProof/>
          <w:webHidden/>
        </w:rPr>
        <w:tab/>
      </w:r>
      <w:r w:rsidR="005227E0">
        <w:rPr>
          <w:noProof/>
          <w:webHidden/>
        </w:rPr>
        <w:t>50</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24:  Coal Demand (Millions of Short Tons) – Historical and Moderate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54</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25:  Thermal Coal Demand Comparison – Budget 2012 and Budget 2013 Forecasts, Moderate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58</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26:  Coal Price Comparison – Budget 2012 and Budget 2013 Forecasts, Moderate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59</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27:  Coal-Fired Generation Responding to CO</w:t>
      </w:r>
      <w:r w:rsidRPr="00635CDC">
        <w:rPr>
          <w:noProof/>
          <w:sz w:val="19"/>
          <w:u w:color="808080"/>
          <w:vertAlign w:val="subscript"/>
        </w:rPr>
        <w:t>2</w:t>
      </w:r>
      <w:r w:rsidRPr="00635CDC">
        <w:rPr>
          <w:noProof/>
          <w:sz w:val="19"/>
          <w:u w:color="808080"/>
        </w:rPr>
        <w:t xml:space="preserve"> Prices – Moderate Fuel Price View</w:t>
      </w:r>
      <w:r>
        <w:rPr>
          <w:noProof/>
          <w:webHidden/>
        </w:rPr>
        <w:tab/>
      </w:r>
      <w:r w:rsidR="005227E0">
        <w:rPr>
          <w:noProof/>
          <w:webHidden/>
        </w:rPr>
        <w:t>60</w:t>
      </w:r>
    </w:p>
    <w:p w:rsidR="00BF0B15" w:rsidRDefault="00BF0B15">
      <w:pPr>
        <w:pStyle w:val="TableofFigures"/>
        <w:tabs>
          <w:tab w:val="right" w:leader="dot" w:pos="8275"/>
        </w:tabs>
        <w:rPr>
          <w:noProof/>
          <w:webHidden/>
        </w:rPr>
      </w:pPr>
      <w:r w:rsidRPr="00635CDC">
        <w:rPr>
          <w:noProof/>
          <w:sz w:val="19"/>
          <w:u w:color="808080"/>
        </w:rPr>
        <w:t>Figure 28:  Sector Natural Gas Consumption (Quads) – Low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66</w:t>
      </w:r>
    </w:p>
    <w:p w:rsidR="00F776A7" w:rsidRDefault="00F776A7" w:rsidP="00F776A7">
      <w:pPr>
        <w:rPr>
          <w:rFonts w:eastAsiaTheme="minorEastAsia"/>
        </w:rPr>
      </w:pPr>
    </w:p>
    <w:p w:rsidR="00F776A7" w:rsidRPr="00F776A7" w:rsidRDefault="00F776A7" w:rsidP="00F776A7">
      <w:pPr>
        <w:rPr>
          <w:rFonts w:eastAsiaTheme="minorEastAsia"/>
        </w:rPr>
      </w:pP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29:  Sector Natural Gas Consumption (Quads) – High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67</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Figure 30:  Map of MRN-NEEM Regions</w:t>
      </w:r>
      <w:r>
        <w:rPr>
          <w:noProof/>
          <w:webHidden/>
        </w:rPr>
        <w:tab/>
      </w:r>
      <w:r w:rsidR="005227E0">
        <w:rPr>
          <w:noProof/>
          <w:webHidden/>
        </w:rPr>
        <w:t>70</w:t>
      </w:r>
    </w:p>
    <w:p w:rsidR="00C5174D" w:rsidRDefault="00C5174D" w:rsidP="00784F4B">
      <w:pPr>
        <w:pStyle w:val="TableofFigures"/>
        <w:tabs>
          <w:tab w:val="right" w:leader="dot" w:pos="8275"/>
        </w:tabs>
        <w:ind w:right="1085"/>
        <w:rPr>
          <w:rStyle w:val="Hyperlink"/>
          <w:rFonts w:cs="Arial"/>
          <w:sz w:val="20"/>
        </w:rPr>
      </w:pPr>
    </w:p>
    <w:p w:rsidR="00C94C99" w:rsidRDefault="00C94C99" w:rsidP="00C94C99"/>
    <w:p w:rsidR="00C94C99" w:rsidRPr="00C94C99" w:rsidRDefault="00C94C99" w:rsidP="00C94C99"/>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  Limits on New Baseload Generating Capacity (GW)</w:t>
      </w:r>
      <w:r>
        <w:rPr>
          <w:noProof/>
          <w:webHidden/>
        </w:rPr>
        <w:tab/>
      </w:r>
      <w:r w:rsidR="005227E0">
        <w:rPr>
          <w:noProof/>
          <w:webHidden/>
        </w:rPr>
        <w:t>18</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  Variations in Fuel Price Views</w:t>
      </w:r>
      <w:r>
        <w:rPr>
          <w:noProof/>
          <w:webHidden/>
        </w:rPr>
        <w:tab/>
      </w:r>
      <w:r w:rsidR="005227E0">
        <w:rPr>
          <w:noProof/>
          <w:webHidden/>
        </w:rPr>
        <w:t>20</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3:  Percentage Changes in Natural Gas Demand (Electric and Non-Electric Sectors) Compared to the Existing CO</w:t>
      </w:r>
      <w:r w:rsidRPr="00635CDC">
        <w:rPr>
          <w:noProof/>
          <w:sz w:val="19"/>
          <w:u w:color="808080"/>
          <w:vertAlign w:val="subscript"/>
        </w:rPr>
        <w:t>2</w:t>
      </w:r>
      <w:r w:rsidRPr="00635CDC">
        <w:rPr>
          <w:noProof/>
          <w:sz w:val="19"/>
          <w:u w:color="808080"/>
        </w:rPr>
        <w:t xml:space="preserve"> Policy View with Addition of Price on CO</w:t>
      </w:r>
      <w:r w:rsidRPr="00635CDC">
        <w:rPr>
          <w:noProof/>
          <w:sz w:val="19"/>
          <w:u w:color="808080"/>
          <w:vertAlign w:val="subscript"/>
        </w:rPr>
        <w:t>2</w:t>
      </w:r>
      <w:r w:rsidRPr="00635CDC">
        <w:rPr>
          <w:noProof/>
          <w:sz w:val="19"/>
          <w:u w:color="808080"/>
        </w:rPr>
        <w:t xml:space="preserve"> – Moderate Fuel Price View</w:t>
      </w:r>
      <w:r>
        <w:rPr>
          <w:noProof/>
          <w:webHidden/>
        </w:rPr>
        <w:tab/>
      </w:r>
      <w:r w:rsidR="005227E0">
        <w:rPr>
          <w:noProof/>
          <w:webHidden/>
        </w:rPr>
        <w:t>31</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4:  CRA Crude Oil Price Projections</w:t>
      </w:r>
      <w:r>
        <w:rPr>
          <w:noProof/>
          <w:webHidden/>
        </w:rPr>
        <w:tab/>
      </w:r>
      <w:r w:rsidR="005227E0">
        <w:rPr>
          <w:noProof/>
          <w:webHidden/>
        </w:rPr>
        <w:t>34</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5:  Crude Oil Prices for All Existing CO</w:t>
      </w:r>
      <w:r w:rsidRPr="00635CDC">
        <w:rPr>
          <w:noProof/>
          <w:sz w:val="19"/>
          <w:u w:color="808080"/>
          <w:vertAlign w:val="subscript"/>
        </w:rPr>
        <w:t>2</w:t>
      </w:r>
      <w:r w:rsidRPr="00635CDC">
        <w:rPr>
          <w:noProof/>
          <w:sz w:val="19"/>
          <w:u w:color="808080"/>
        </w:rPr>
        <w:t xml:space="preserve"> Policy Views (2011$/bbl)</w:t>
      </w:r>
      <w:r>
        <w:rPr>
          <w:noProof/>
          <w:webHidden/>
        </w:rPr>
        <w:tab/>
      </w:r>
      <w:r w:rsidR="005227E0">
        <w:rPr>
          <w:noProof/>
          <w:webHidden/>
        </w:rPr>
        <w:t>38</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6:  Crude Oil Prices Comparison for Existing CO</w:t>
      </w:r>
      <w:r w:rsidRPr="00635CDC">
        <w:rPr>
          <w:noProof/>
          <w:sz w:val="19"/>
          <w:u w:color="808080"/>
          <w:vertAlign w:val="subscript"/>
        </w:rPr>
        <w:t>2</w:t>
      </w:r>
      <w:r w:rsidRPr="00635CDC">
        <w:rPr>
          <w:noProof/>
          <w:sz w:val="19"/>
          <w:u w:color="808080"/>
        </w:rPr>
        <w:t xml:space="preserve"> Policy Views (2011$/bbl)</w:t>
      </w:r>
      <w:r>
        <w:rPr>
          <w:noProof/>
          <w:webHidden/>
        </w:rPr>
        <w:tab/>
      </w:r>
      <w:r w:rsidR="005227E0">
        <w:rPr>
          <w:noProof/>
          <w:webHidden/>
        </w:rPr>
        <w:t>39</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7:  Comparison of Modeled Environmental Regulations</w:t>
      </w:r>
      <w:r>
        <w:rPr>
          <w:noProof/>
          <w:webHidden/>
        </w:rPr>
        <w:tab/>
      </w:r>
      <w:r w:rsidR="005227E0">
        <w:rPr>
          <w:noProof/>
          <w:webHidden/>
        </w:rPr>
        <w:t>42</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8:  CAIR SO</w:t>
      </w:r>
      <w:r w:rsidRPr="00635CDC">
        <w:rPr>
          <w:noProof/>
          <w:sz w:val="19"/>
          <w:u w:color="808080"/>
          <w:vertAlign w:val="subscript"/>
        </w:rPr>
        <w:t>2</w:t>
      </w:r>
      <w:r w:rsidRPr="00635CDC">
        <w:rPr>
          <w:noProof/>
          <w:sz w:val="19"/>
          <w:u w:color="808080"/>
        </w:rPr>
        <w:t xml:space="preserve"> and Annual NO</w:t>
      </w:r>
      <w:r w:rsidRPr="00635CDC">
        <w:rPr>
          <w:noProof/>
          <w:sz w:val="19"/>
          <w:u w:color="808080"/>
          <w:vertAlign w:val="subscript"/>
        </w:rPr>
        <w:t>X</w:t>
      </w:r>
      <w:r w:rsidRPr="00635CDC">
        <w:rPr>
          <w:noProof/>
          <w:sz w:val="19"/>
          <w:u w:color="808080"/>
        </w:rPr>
        <w:t xml:space="preserve"> Budgets for the Southern Company Territory States</w:t>
      </w:r>
      <w:r>
        <w:rPr>
          <w:noProof/>
          <w:webHidden/>
        </w:rPr>
        <w:tab/>
      </w:r>
      <w:r w:rsidR="005227E0">
        <w:rPr>
          <w:noProof/>
          <w:webHidden/>
        </w:rPr>
        <w:t>44</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9:  Coal Characteristics</w:t>
      </w:r>
      <w:r>
        <w:rPr>
          <w:noProof/>
          <w:webHidden/>
        </w:rPr>
        <w:tab/>
      </w:r>
      <w:r w:rsidR="005227E0">
        <w:rPr>
          <w:noProof/>
          <w:webHidden/>
        </w:rPr>
        <w:t>56</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10:  Mine-mouth Coal Prices (2011$/ton) - Moderate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57</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11:  Henry Hub Natural Gas Prices (2011$/MMBtu) – Existing CO</w:t>
      </w:r>
      <w:r w:rsidRPr="00635CDC">
        <w:rPr>
          <w:noProof/>
          <w:sz w:val="19"/>
          <w:u w:color="808080"/>
          <w:vertAlign w:val="subscript"/>
        </w:rPr>
        <w:t>2</w:t>
      </w:r>
      <w:r w:rsidRPr="00635CDC">
        <w:rPr>
          <w:noProof/>
          <w:sz w:val="19"/>
          <w:u w:color="808080"/>
        </w:rPr>
        <w:t xml:space="preserve"> Policy</w:t>
      </w:r>
      <w:r>
        <w:rPr>
          <w:noProof/>
          <w:webHidden/>
        </w:rPr>
        <w:tab/>
      </w:r>
      <w:r w:rsidR="005227E0">
        <w:rPr>
          <w:noProof/>
          <w:webHidden/>
        </w:rPr>
        <w:t>61</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12:  Henry Hub Natural Gas Prices (2011$/MMBtu) – Moderate CO</w:t>
      </w:r>
      <w:r w:rsidRPr="00635CDC">
        <w:rPr>
          <w:noProof/>
          <w:sz w:val="19"/>
          <w:u w:color="808080"/>
          <w:vertAlign w:val="subscript"/>
        </w:rPr>
        <w:t>2</w:t>
      </w:r>
      <w:r w:rsidRPr="00635CDC">
        <w:rPr>
          <w:noProof/>
          <w:sz w:val="19"/>
          <w:u w:color="808080"/>
        </w:rPr>
        <w:t xml:space="preserve"> Policy</w:t>
      </w:r>
      <w:r>
        <w:rPr>
          <w:noProof/>
          <w:webHidden/>
        </w:rPr>
        <w:tab/>
      </w:r>
      <w:r w:rsidR="005227E0">
        <w:rPr>
          <w:noProof/>
          <w:webHidden/>
        </w:rPr>
        <w:t>61</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13:  Henry Hub Natural Gas Prices (2011$/MMBtu) – Substantial CO</w:t>
      </w:r>
      <w:r w:rsidRPr="00635CDC">
        <w:rPr>
          <w:noProof/>
          <w:sz w:val="19"/>
          <w:u w:color="808080"/>
          <w:vertAlign w:val="subscript"/>
        </w:rPr>
        <w:t>2</w:t>
      </w:r>
      <w:r w:rsidRPr="00635CDC">
        <w:rPr>
          <w:noProof/>
          <w:sz w:val="19"/>
          <w:u w:color="808080"/>
        </w:rPr>
        <w:t xml:space="preserve"> Policy</w:t>
      </w:r>
      <w:r>
        <w:rPr>
          <w:noProof/>
          <w:webHidden/>
        </w:rPr>
        <w:tab/>
      </w:r>
      <w:r w:rsidR="005227E0">
        <w:rPr>
          <w:noProof/>
          <w:webHidden/>
        </w:rPr>
        <w:t>61</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14:  Mine-mouth Coal Prices (2011$/ton) – Low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62</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15:  Mine-mouth Coal Prices (2011$/ton) – Moderate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62</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16:  Mine-mouth Coal Prices (2011$/ton) – High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62</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17:  Mine-mouth Coal Prices (2011$/ton) – Low Fuel Price, Moderate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62</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18:  Mine-mouth Coal Prices (2011$/ton) – Moderate Fuel Price, Moderate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63</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19:  Mine-mouth Coal Prices (2011$/ton) – High Fuel Price, Moderate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63</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20:  Mine-mouth Coal Prices (2011$/ton) – Low Fuel Price, Substantial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63</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21:  Mine-mouth Coal Prices (2011$/ton) – Moderate Fuel Price, Substantial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63</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22:  Mine-mouth Coal Prices (2011$/ton) – High Fuel Price, Substantial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64</w:t>
      </w:r>
    </w:p>
    <w:p w:rsidR="00BF0B15" w:rsidRDefault="00BF0B15">
      <w:pPr>
        <w:pStyle w:val="TableofFigures"/>
        <w:tabs>
          <w:tab w:val="right" w:leader="dot" w:pos="8275"/>
        </w:tabs>
        <w:rPr>
          <w:noProof/>
          <w:webHidden/>
        </w:rPr>
      </w:pPr>
      <w:r w:rsidRPr="00635CDC">
        <w:rPr>
          <w:noProof/>
          <w:sz w:val="19"/>
          <w:u w:color="808080"/>
        </w:rPr>
        <w:t>Table 23:  Electric Sector Natural Gas Demand (Quads) – Existing CO</w:t>
      </w:r>
      <w:r w:rsidRPr="00635CDC">
        <w:rPr>
          <w:noProof/>
          <w:sz w:val="19"/>
          <w:u w:color="808080"/>
          <w:vertAlign w:val="subscript"/>
        </w:rPr>
        <w:t>2</w:t>
      </w:r>
      <w:r w:rsidRPr="00635CDC">
        <w:rPr>
          <w:noProof/>
          <w:sz w:val="19"/>
          <w:u w:color="808080"/>
        </w:rPr>
        <w:t xml:space="preserve"> Policy</w:t>
      </w:r>
      <w:r>
        <w:rPr>
          <w:noProof/>
          <w:webHidden/>
        </w:rPr>
        <w:tab/>
      </w:r>
      <w:r w:rsidR="005227E0">
        <w:rPr>
          <w:noProof/>
          <w:webHidden/>
        </w:rPr>
        <w:t>65</w:t>
      </w:r>
    </w:p>
    <w:p w:rsidR="00F776A7" w:rsidRPr="00F776A7" w:rsidRDefault="00F776A7" w:rsidP="00F776A7">
      <w:pPr>
        <w:rPr>
          <w:rFonts w:eastAsiaTheme="minorEastAsia"/>
        </w:rPr>
      </w:pP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24:  Electric Sector Natural Gas Demand (Quads) – Moderate CO</w:t>
      </w:r>
      <w:r w:rsidRPr="00635CDC">
        <w:rPr>
          <w:noProof/>
          <w:sz w:val="19"/>
          <w:u w:color="808080"/>
          <w:vertAlign w:val="subscript"/>
        </w:rPr>
        <w:t>2</w:t>
      </w:r>
      <w:r w:rsidRPr="00635CDC">
        <w:rPr>
          <w:noProof/>
          <w:sz w:val="19"/>
          <w:u w:color="808080"/>
        </w:rPr>
        <w:t xml:space="preserve"> Policy</w:t>
      </w:r>
      <w:r>
        <w:rPr>
          <w:noProof/>
          <w:webHidden/>
        </w:rPr>
        <w:tab/>
      </w:r>
      <w:r w:rsidR="005227E0">
        <w:rPr>
          <w:noProof/>
          <w:webHidden/>
        </w:rPr>
        <w:t>65</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25:  Electric Sector Natural Gas Demand (Quads) – Substantial CO</w:t>
      </w:r>
      <w:r w:rsidRPr="00635CDC">
        <w:rPr>
          <w:noProof/>
          <w:sz w:val="19"/>
          <w:u w:color="808080"/>
          <w:vertAlign w:val="subscript"/>
        </w:rPr>
        <w:t>2</w:t>
      </w:r>
      <w:r w:rsidRPr="00635CDC">
        <w:rPr>
          <w:noProof/>
          <w:sz w:val="19"/>
          <w:u w:color="808080"/>
        </w:rPr>
        <w:t xml:space="preserve"> Policy</w:t>
      </w:r>
      <w:r>
        <w:rPr>
          <w:noProof/>
          <w:webHidden/>
        </w:rPr>
        <w:tab/>
      </w:r>
      <w:r w:rsidR="005227E0">
        <w:rPr>
          <w:noProof/>
          <w:webHidden/>
        </w:rPr>
        <w:t>65</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26:  Natural Gas Production by Source - Low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67</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27:  Natural Gas Production by Source - Moderate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68</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28:  Natural Gas Production by Source - High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68</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29:  Coal Demand (Million Tons) - Low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69</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30:  Coal Demand (Million Tons) - Moderate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69</w:t>
      </w:r>
    </w:p>
    <w:p w:rsidR="00BF0B15" w:rsidRDefault="00BF0B15">
      <w:pPr>
        <w:pStyle w:val="TableofFigures"/>
        <w:tabs>
          <w:tab w:val="right" w:leader="dot" w:pos="8275"/>
        </w:tabs>
        <w:rPr>
          <w:rFonts w:asciiTheme="minorHAnsi" w:eastAsiaTheme="minorEastAsia" w:hAnsiTheme="minorHAnsi" w:cstheme="minorBidi"/>
          <w:noProof/>
          <w:sz w:val="22"/>
          <w:szCs w:val="22"/>
        </w:rPr>
      </w:pPr>
      <w:r w:rsidRPr="00635CDC">
        <w:rPr>
          <w:noProof/>
          <w:sz w:val="19"/>
          <w:u w:color="808080"/>
        </w:rPr>
        <w:t>Table 31:  Coal Demand (Million Tons) - High Fuel Price, Existing CO</w:t>
      </w:r>
      <w:r w:rsidRPr="00635CDC">
        <w:rPr>
          <w:noProof/>
          <w:sz w:val="19"/>
          <w:u w:color="808080"/>
          <w:vertAlign w:val="subscript"/>
        </w:rPr>
        <w:t>2</w:t>
      </w:r>
      <w:r w:rsidRPr="00635CDC">
        <w:rPr>
          <w:noProof/>
          <w:sz w:val="19"/>
          <w:u w:color="808080"/>
        </w:rPr>
        <w:t xml:space="preserve"> Policy Scenario</w:t>
      </w:r>
      <w:r>
        <w:rPr>
          <w:noProof/>
          <w:webHidden/>
        </w:rPr>
        <w:tab/>
      </w:r>
      <w:r w:rsidR="005227E0">
        <w:rPr>
          <w:noProof/>
          <w:webHidden/>
        </w:rPr>
        <w:t>69</w:t>
      </w:r>
    </w:p>
    <w:p w:rsidR="00C5174D" w:rsidRDefault="00C5174D" w:rsidP="00784F4B">
      <w:pPr>
        <w:pStyle w:val="TableofFigures"/>
        <w:tabs>
          <w:tab w:val="right" w:leader="dot" w:pos="8275"/>
        </w:tabs>
        <w:ind w:right="1085"/>
        <w:rPr>
          <w:rStyle w:val="Hyperlink"/>
          <w:rFonts w:cs="Arial"/>
          <w:sz w:val="20"/>
        </w:rPr>
      </w:pPr>
    </w:p>
    <w:p w:rsidR="00C5174D" w:rsidRDefault="00C5174D" w:rsidP="00FB6B32">
      <w:pPr>
        <w:pStyle w:val="BodyText"/>
        <w:rPr>
          <w:rStyle w:val="Hyperlink"/>
          <w:rFonts w:cs="Arial"/>
          <w:sz w:val="20"/>
        </w:rPr>
      </w:pPr>
      <w:r>
        <w:rPr>
          <w:rStyle w:val="Hyperlink"/>
          <w:rFonts w:cs="Arial"/>
          <w:sz w:val="20"/>
        </w:rPr>
        <w:br w:type="page"/>
      </w:r>
    </w:p>
    <w:p w:rsidR="00C5174D" w:rsidRPr="000564A7" w:rsidRDefault="00C5174D">
      <w:pPr>
        <w:pStyle w:val="SectionHeading"/>
        <w:rPr>
          <w:caps w:val="0"/>
        </w:rPr>
      </w:pPr>
      <w:r w:rsidRPr="000564A7">
        <w:rPr>
          <w:caps w:val="0"/>
        </w:rPr>
        <w:t>Disclaimer</w:t>
      </w:r>
    </w:p>
    <w:p w:rsidR="00C5174D" w:rsidRDefault="00C5174D">
      <w:pPr>
        <w:pStyle w:val="Disclaimer"/>
      </w:pPr>
      <w:r>
        <w:t>All references to views of Charles River Associates and CRA represent views of the authors and do not necessarily represent views of all representatives of CRA.</w:t>
      </w:r>
    </w:p>
    <w:p w:rsidR="00C5174D" w:rsidRDefault="00C5174D" w:rsidP="00917D0E">
      <w:pPr>
        <w:pStyle w:val="SectionHeading"/>
        <w:ind w:left="0"/>
        <w:jc w:val="both"/>
      </w:pPr>
      <w:r>
        <w:t xml:space="preserve"> </w:t>
      </w:r>
    </w:p>
    <w:p w:rsidR="00C5174D" w:rsidRPr="00FB6B32" w:rsidRDefault="00C5174D" w:rsidP="00FB6B32">
      <w:pPr>
        <w:sectPr w:rsidR="00C5174D" w:rsidRPr="00FB6B32">
          <w:headerReference w:type="default" r:id="rId14"/>
          <w:footerReference w:type="default" r:id="rId15"/>
          <w:headerReference w:type="first" r:id="rId16"/>
          <w:footerReference w:type="first" r:id="rId17"/>
          <w:pgSz w:w="12242" w:h="15842" w:code="1"/>
          <w:pgMar w:top="1440" w:right="1440" w:bottom="1440" w:left="1440" w:header="578" w:footer="431" w:gutter="1077"/>
          <w:paperSrc w:first="500" w:other="500"/>
          <w:pgNumType w:fmt="lowerRoman" w:start="1"/>
          <w:cols w:space="720"/>
        </w:sectPr>
      </w:pPr>
    </w:p>
    <w:p w:rsidR="00C5174D" w:rsidRDefault="00C5174D" w:rsidP="00A42834">
      <w:pPr>
        <w:pStyle w:val="Heading1"/>
        <w:numPr>
          <w:ilvl w:val="0"/>
          <w:numId w:val="2"/>
        </w:numPr>
      </w:pPr>
      <w:bookmarkStart w:id="0" w:name="_Toc340606116"/>
      <w:r w:rsidRPr="00917D0E">
        <w:t>INTRODUCTION</w:t>
      </w:r>
      <w:bookmarkEnd w:id="0"/>
    </w:p>
    <w:p w:rsidR="00AD3549" w:rsidRDefault="00C5174D" w:rsidP="00AD3549">
      <w:pPr>
        <w:pStyle w:val="BodyText"/>
      </w:pPr>
      <w:r w:rsidRPr="00917D0E">
        <w:t>This report describes Charles River Associates’ (CRA’s) dev</w:t>
      </w:r>
      <w:r w:rsidR="00AD3549">
        <w:t>elopment of fuel price forecasts</w:t>
      </w:r>
      <w:r w:rsidRPr="00917D0E">
        <w:t xml:space="preserve"> for Southern Company</w:t>
      </w:r>
      <w:r w:rsidR="00AD3549">
        <w:t>’s Budget 2013 planning scenarios</w:t>
      </w:r>
      <w:r w:rsidRPr="00917D0E">
        <w:t xml:space="preserve">.  </w:t>
      </w:r>
      <w:r w:rsidR="00AD3549">
        <w:t>CRA has produced similar reports associated with the Company's fuel price forecasts for Budget 2010, Budget 2011 and Budget 2012.</w:t>
      </w:r>
    </w:p>
    <w:p w:rsidR="00AD3549" w:rsidRDefault="00AD3549" w:rsidP="00AD3549">
      <w:pPr>
        <w:pStyle w:val="BodyText"/>
      </w:pPr>
      <w:r>
        <w:t xml:space="preserve">The Budget 2013 scenarios share many common assumptions.  They are differentiated, however, by three different views on the future evolution of natural gas supply and demand and by three different views on the future evolution of greenhouse gas </w:t>
      </w:r>
      <w:r w:rsidR="005B7B5B">
        <w:t xml:space="preserve">(“GHG”) </w:t>
      </w:r>
      <w:r>
        <w:t>emissions control policy.</w:t>
      </w:r>
    </w:p>
    <w:p w:rsidR="00C5174D" w:rsidRDefault="00C5174D" w:rsidP="00134849">
      <w:pPr>
        <w:pStyle w:val="BodyText"/>
      </w:pPr>
      <w:r w:rsidRPr="00917D0E">
        <w:t xml:space="preserve">CRA’s MRN-NEEM national, multi-sector, </w:t>
      </w:r>
      <w:r w:rsidR="00EF1566">
        <w:t xml:space="preserve">energy-economy </w:t>
      </w:r>
      <w:r w:rsidRPr="00917D0E">
        <w:t>model, with support from other CRA mod</w:t>
      </w:r>
      <w:r w:rsidR="00AD3549">
        <w:t xml:space="preserve">els, was used to generate </w:t>
      </w:r>
      <w:r w:rsidRPr="00917D0E">
        <w:t>integrated sc</w:t>
      </w:r>
      <w:r w:rsidR="00BA7C98">
        <w:t xml:space="preserve">enario results for natural gas and coal </w:t>
      </w:r>
      <w:r w:rsidR="00451C83">
        <w:t xml:space="preserve">prices </w:t>
      </w:r>
      <w:r w:rsidRPr="00917D0E">
        <w:t xml:space="preserve">for the </w:t>
      </w:r>
      <w:r w:rsidR="00EF1566">
        <w:t>period</w:t>
      </w:r>
      <w:r w:rsidR="00EF1566" w:rsidRPr="00917D0E">
        <w:t xml:space="preserve"> </w:t>
      </w:r>
      <w:r w:rsidR="00EA08E6">
        <w:t>2017 through 2052</w:t>
      </w:r>
      <w:r w:rsidRPr="00917D0E">
        <w:t xml:space="preserve">, in five-year increments.  </w:t>
      </w:r>
    </w:p>
    <w:p w:rsidR="00C5174D" w:rsidRDefault="00C5174D" w:rsidP="00134849">
      <w:pPr>
        <w:pStyle w:val="BodyText"/>
      </w:pPr>
      <w:r w:rsidRPr="00917D0E">
        <w:t>The integrated modeling approach makes it possible t</w:t>
      </w:r>
      <w:r w:rsidR="00AD3549">
        <w:t>o develop forecasts</w:t>
      </w:r>
      <w:r w:rsidRPr="00917D0E">
        <w:t xml:space="preserve"> for natural gas, petroleum and coal prices </w:t>
      </w:r>
      <w:r w:rsidR="00AD3549">
        <w:t xml:space="preserve">that are internally consistent with each other and with many other </w:t>
      </w:r>
      <w:r w:rsidR="00AD3549" w:rsidRPr="00AD3549">
        <w:t xml:space="preserve">variables and feedbacks involving economic growth, electricity consumption and output in many sectors and regions.  </w:t>
      </w:r>
      <w:r w:rsidRPr="00917D0E">
        <w:t xml:space="preserve">The integrated scenario approach takes a set of assumptions about market fundamentals and then solves for the prices that make </w:t>
      </w:r>
      <w:r w:rsidR="00EF1566">
        <w:t>quantity supplied</w:t>
      </w:r>
      <w:r w:rsidRPr="00917D0E">
        <w:t xml:space="preserve"> equal </w:t>
      </w:r>
      <w:r w:rsidR="00EF1566">
        <w:t>quantity demanded</w:t>
      </w:r>
      <w:r w:rsidR="00EF1566" w:rsidRPr="00917D0E">
        <w:t xml:space="preserve"> </w:t>
      </w:r>
      <w:r w:rsidRPr="00917D0E">
        <w:t>in all these related markets.  In addition, the integrated approach brings out interactions among the different markets and reveals relationships among the fuels that are implied by fundamental factors, such as competition between coal and natural gas as a generation fuel.</w:t>
      </w:r>
    </w:p>
    <w:p w:rsidR="00C5174D" w:rsidRDefault="00C5174D" w:rsidP="00D50AB8">
      <w:pPr>
        <w:pStyle w:val="BodyText"/>
      </w:pPr>
      <w:r w:rsidRPr="003D4DF6">
        <w:t xml:space="preserve">The modeling process </w:t>
      </w:r>
      <w:r>
        <w:t xml:space="preserve">began with a calibration of </w:t>
      </w:r>
      <w:r w:rsidRPr="003D4DF6">
        <w:t xml:space="preserve">the MRN-NEEM model to the most recent </w:t>
      </w:r>
      <w:r w:rsidR="00DF5EC0">
        <w:t>Energy Information Agency (</w:t>
      </w:r>
      <w:r w:rsidRPr="003D4DF6">
        <w:t>EIA</w:t>
      </w:r>
      <w:r w:rsidR="00DF5EC0">
        <w:t>)</w:t>
      </w:r>
      <w:r w:rsidRPr="003D4DF6">
        <w:t xml:space="preserve"> Annual Ener</w:t>
      </w:r>
      <w:r w:rsidR="00246220">
        <w:t xml:space="preserve">gy Outlook, in this case </w:t>
      </w:r>
      <w:r w:rsidR="00AD3549">
        <w:t>the AEO2012 (Early R</w:t>
      </w:r>
      <w:r w:rsidR="00246220">
        <w:t>elease</w:t>
      </w:r>
      <w:r w:rsidR="00AD3549">
        <w:t xml:space="preserve"> Reference Case</w:t>
      </w:r>
      <w:r w:rsidR="00246220">
        <w:t>)</w:t>
      </w:r>
      <w:r w:rsidRPr="003D4DF6">
        <w:t xml:space="preserve">.  </w:t>
      </w:r>
      <w:r w:rsidR="00BE36ED">
        <w:t>T</w:t>
      </w:r>
      <w:r w:rsidRPr="003D4DF6">
        <w:t xml:space="preserve">he EIA </w:t>
      </w:r>
      <w:r w:rsidR="00AD3549">
        <w:t xml:space="preserve">Early Release </w:t>
      </w:r>
      <w:r w:rsidRPr="003D4DF6">
        <w:t xml:space="preserve">Reference Case assumes </w:t>
      </w:r>
      <w:r>
        <w:t xml:space="preserve">a continuation of </w:t>
      </w:r>
      <w:r w:rsidRPr="003D4DF6">
        <w:t>environmental policies</w:t>
      </w:r>
      <w:r>
        <w:t xml:space="preserve"> in place</w:t>
      </w:r>
      <w:r w:rsidR="0052269C">
        <w:t xml:space="preserve"> (finalized not necessarily implemented)</w:t>
      </w:r>
      <w:r>
        <w:t xml:space="preserve"> at the time of the forecast</w:t>
      </w:r>
      <w:r w:rsidR="00815196">
        <w:t>,</w:t>
      </w:r>
      <w:r>
        <w:t xml:space="preserve"> while </w:t>
      </w:r>
      <w:r w:rsidR="00EF1566">
        <w:t>the</w:t>
      </w:r>
      <w:r w:rsidR="00BE36ED">
        <w:t xml:space="preserve"> CRA</w:t>
      </w:r>
      <w:r w:rsidR="00EF1566">
        <w:t xml:space="preserve"> analyses</w:t>
      </w:r>
      <w:r w:rsidR="005F0E52">
        <w:t xml:space="preserve"> assume that </w:t>
      </w:r>
      <w:r w:rsidRPr="003D4DF6">
        <w:t xml:space="preserve">proposed rules that </w:t>
      </w:r>
      <w:r w:rsidR="005F0E52">
        <w:t xml:space="preserve">the </w:t>
      </w:r>
      <w:r w:rsidR="00DF5EC0">
        <w:t xml:space="preserve">United States Environmental Protection Agency (EPA) </w:t>
      </w:r>
      <w:r w:rsidR="005F0E52">
        <w:t>has yet to finalize</w:t>
      </w:r>
      <w:r w:rsidRPr="003D4DF6">
        <w:t xml:space="preserve"> </w:t>
      </w:r>
      <w:r w:rsidR="00E87E7D">
        <w:t xml:space="preserve">(or have finalized since EIA performed its Early Release Reference Case forecast) </w:t>
      </w:r>
      <w:r w:rsidRPr="003D4DF6">
        <w:t>will come into effect</w:t>
      </w:r>
      <w:r>
        <w:t>.  As a result</w:t>
      </w:r>
      <w:r w:rsidRPr="003D4DF6">
        <w:t xml:space="preserve">, </w:t>
      </w:r>
      <w:r w:rsidR="00EF1566">
        <w:t>the</w:t>
      </w:r>
      <w:r w:rsidR="00BE36ED">
        <w:t xml:space="preserve"> CRA</w:t>
      </w:r>
      <w:r w:rsidRPr="003D4DF6">
        <w:t xml:space="preserve"> forecasts </w:t>
      </w:r>
      <w:r w:rsidR="00EF1566">
        <w:t xml:space="preserve">anticipate </w:t>
      </w:r>
      <w:r w:rsidRPr="003D4DF6">
        <w:t xml:space="preserve">a </w:t>
      </w:r>
      <w:r w:rsidR="005F0E52">
        <w:t>larger decrease in the</w:t>
      </w:r>
      <w:r w:rsidRPr="003D4DF6">
        <w:t xml:space="preserve"> coal plant fleet</w:t>
      </w:r>
      <w:r>
        <w:t xml:space="preserve"> </w:t>
      </w:r>
      <w:r w:rsidR="005F0E52">
        <w:t>size than EIA does.</w:t>
      </w:r>
      <w:r w:rsidRPr="003D4DF6">
        <w:t xml:space="preserve">  </w:t>
      </w:r>
      <w:r w:rsidR="005F0E52">
        <w:t>These differences from AEO2012</w:t>
      </w:r>
      <w:r w:rsidR="00815196">
        <w:t xml:space="preserve"> are reflected in the CRA integrated modeling</w:t>
      </w:r>
      <w:r w:rsidR="00815196" w:rsidRPr="00054E5F">
        <w:t xml:space="preserve">.  </w:t>
      </w:r>
      <w:r w:rsidRPr="00054E5F">
        <w:t>It is also no</w:t>
      </w:r>
      <w:r w:rsidR="00C94C99" w:rsidRPr="00054E5F">
        <w:t>t</w:t>
      </w:r>
      <w:r w:rsidRPr="00054E5F">
        <w:t xml:space="preserve">eworthy that the underlying gas supply and demand picture </w:t>
      </w:r>
      <w:r w:rsidR="00E87E7D" w:rsidRPr="00054E5F">
        <w:t xml:space="preserve">has </w:t>
      </w:r>
      <w:r w:rsidR="00CF7496" w:rsidRPr="00054E5F">
        <w:t xml:space="preserve">(again) </w:t>
      </w:r>
      <w:r w:rsidRPr="00054E5F">
        <w:t>changed</w:t>
      </w:r>
      <w:r w:rsidR="00CF7496" w:rsidRPr="00054E5F">
        <w:t xml:space="preserve"> </w:t>
      </w:r>
      <w:r w:rsidRPr="00054E5F">
        <w:t xml:space="preserve">from </w:t>
      </w:r>
      <w:r w:rsidR="00CF7496" w:rsidRPr="00054E5F">
        <w:t>AEO2011</w:t>
      </w:r>
      <w:r w:rsidR="00C94C99" w:rsidRPr="00054E5F">
        <w:t xml:space="preserve"> </w:t>
      </w:r>
      <w:r w:rsidRPr="00054E5F">
        <w:t>(u</w:t>
      </w:r>
      <w:r w:rsidR="00CF7496" w:rsidRPr="00054E5F">
        <w:t>sed to calibrate the Budget 2012</w:t>
      </w:r>
      <w:r w:rsidRPr="00054E5F">
        <w:t xml:space="preserve">) to </w:t>
      </w:r>
      <w:r w:rsidR="005F0E52" w:rsidRPr="00054E5F">
        <w:t>AEO2012</w:t>
      </w:r>
      <w:r w:rsidR="003C6F4F" w:rsidRPr="00054E5F">
        <w:t xml:space="preserve"> (used to calibrate for the </w:t>
      </w:r>
      <w:r w:rsidRPr="00054E5F">
        <w:t>Budget</w:t>
      </w:r>
      <w:r w:rsidR="003C6F4F" w:rsidRPr="00054E5F">
        <w:t xml:space="preserve"> 2013 analysis</w:t>
      </w:r>
      <w:r w:rsidRPr="00054E5F">
        <w:t>).</w:t>
      </w:r>
      <w:r w:rsidR="005B3D66" w:rsidRPr="00054E5F">
        <w:t xml:space="preserve">  The supply picture for shal</w:t>
      </w:r>
      <w:r w:rsidR="00054E5F">
        <w:t xml:space="preserve">e gas has become </w:t>
      </w:r>
      <w:r w:rsidR="005B3D66" w:rsidRPr="00054E5F">
        <w:t>more optimistic.</w:t>
      </w:r>
      <w:r>
        <w:t xml:space="preserve">  </w:t>
      </w:r>
    </w:p>
    <w:p w:rsidR="00C5174D" w:rsidRPr="00917D0E" w:rsidRDefault="00C5174D" w:rsidP="00134849">
      <w:pPr>
        <w:pStyle w:val="BodyText"/>
      </w:pPr>
      <w:r w:rsidRPr="00917D0E">
        <w:t>This report describes the models and methods us</w:t>
      </w:r>
      <w:r w:rsidR="00AD3549">
        <w:t>ed to develop the fuel forecasts</w:t>
      </w:r>
      <w:r w:rsidRPr="00917D0E">
        <w:t xml:space="preserve"> as well as the major underlying assumptions and justifications for these scenarios. </w:t>
      </w:r>
    </w:p>
    <w:p w:rsidR="00C5174D" w:rsidRDefault="00C5174D" w:rsidP="00A42834">
      <w:pPr>
        <w:pStyle w:val="Heading1"/>
        <w:numPr>
          <w:ilvl w:val="0"/>
          <w:numId w:val="2"/>
        </w:numPr>
      </w:pPr>
      <w:bookmarkStart w:id="1" w:name="_Toc399564029"/>
      <w:bookmarkStart w:id="2" w:name="_Toc399564068"/>
      <w:bookmarkStart w:id="3" w:name="_Toc415550940"/>
      <w:r w:rsidRPr="00917D0E">
        <w:rPr>
          <w:highlight w:val="yellow"/>
        </w:rPr>
        <w:br w:type="page"/>
      </w:r>
      <w:bookmarkStart w:id="4" w:name="_Toc340606117"/>
      <w:bookmarkEnd w:id="1"/>
      <w:bookmarkEnd w:id="2"/>
      <w:bookmarkEnd w:id="3"/>
      <w:r w:rsidR="000C3F69">
        <w:t xml:space="preserve">Overview of FUEL </w:t>
      </w:r>
      <w:r w:rsidR="00242B98">
        <w:t>and CO</w:t>
      </w:r>
      <w:r w:rsidR="009F6FBC" w:rsidRPr="00AD42B3">
        <w:rPr>
          <w:vertAlign w:val="subscript"/>
        </w:rPr>
        <w:t>2</w:t>
      </w:r>
      <w:r w:rsidR="00242B98">
        <w:t xml:space="preserve"> </w:t>
      </w:r>
      <w:r w:rsidR="000C3F69">
        <w:t>View</w:t>
      </w:r>
      <w:r w:rsidRPr="008B60CC">
        <w:t xml:space="preserve"> DEVELOPMENT</w:t>
      </w:r>
      <w:bookmarkEnd w:id="4"/>
    </w:p>
    <w:p w:rsidR="00C5174D" w:rsidRPr="004D722C" w:rsidRDefault="000C3F69" w:rsidP="006E689D">
      <w:pPr>
        <w:pStyle w:val="BodyText"/>
      </w:pPr>
      <w:r>
        <w:t>Three different fuel views</w:t>
      </w:r>
      <w:r w:rsidR="00C5174D" w:rsidRPr="004D722C">
        <w:t xml:space="preserve"> were developed with </w:t>
      </w:r>
      <w:r w:rsidR="00E935FE">
        <w:t xml:space="preserve">differing views on future supply and </w:t>
      </w:r>
      <w:r w:rsidR="00E935FE" w:rsidRPr="00E935FE">
        <w:t>demand</w:t>
      </w:r>
      <w:r w:rsidR="00C5174D" w:rsidRPr="00E935FE">
        <w:t>.</w:t>
      </w:r>
      <w:r w:rsidR="00C5174D" w:rsidRPr="004D722C">
        <w:t xml:space="preserve">  In addition</w:t>
      </w:r>
      <w:r w:rsidR="00E935FE">
        <w:t xml:space="preserve">, </w:t>
      </w:r>
      <w:r w:rsidR="00C5174D" w:rsidRPr="004D722C">
        <w:t>the following assumptions were used:</w:t>
      </w:r>
    </w:p>
    <w:p w:rsidR="00C5174D" w:rsidRPr="004D722C" w:rsidRDefault="00C5174D" w:rsidP="006E689D">
      <w:pPr>
        <w:pStyle w:val="ListBullet"/>
      </w:pPr>
      <w:r w:rsidRPr="004D722C">
        <w:t xml:space="preserve">Moody’s </w:t>
      </w:r>
      <w:r w:rsidR="009D1FD1">
        <w:t>Analytics</w:t>
      </w:r>
      <w:r w:rsidRPr="004D722C">
        <w:t xml:space="preserve"> forecast of </w:t>
      </w:r>
      <w:r w:rsidR="00DF5EC0">
        <w:t>Gross Domestic Product (</w:t>
      </w:r>
      <w:r w:rsidRPr="004D722C">
        <w:t>GDP</w:t>
      </w:r>
      <w:r w:rsidR="00DF5EC0">
        <w:t>)</w:t>
      </w:r>
      <w:r w:rsidRPr="004D722C">
        <w:t xml:space="preserve"> growth and </w:t>
      </w:r>
      <w:proofErr w:type="spellStart"/>
      <w:r w:rsidRPr="004D722C">
        <w:t>Southern’s</w:t>
      </w:r>
      <w:proofErr w:type="spellEnd"/>
      <w:r w:rsidRPr="004D722C">
        <w:t xml:space="preserve"> assumption about the relationship between growth in elect</w:t>
      </w:r>
      <w:r w:rsidR="00E935FE">
        <w:t>ricity demand and growth in GDP;</w:t>
      </w:r>
    </w:p>
    <w:p w:rsidR="00C5174D" w:rsidRDefault="00C5174D" w:rsidP="006E689D">
      <w:pPr>
        <w:pStyle w:val="ListBullet"/>
      </w:pPr>
      <w:r w:rsidRPr="004D722C">
        <w:t>Costs, performance and limits on annual builds and cumulative capacity additions of different e</w:t>
      </w:r>
      <w:r w:rsidR="00E935FE">
        <w:t>lectric generating technologies;</w:t>
      </w:r>
    </w:p>
    <w:p w:rsidR="00C5174D" w:rsidRPr="004D722C" w:rsidRDefault="00C5174D" w:rsidP="006E689D">
      <w:pPr>
        <w:pStyle w:val="ListBullet"/>
      </w:pPr>
      <w:r w:rsidRPr="004D722C">
        <w:t xml:space="preserve">No new coal units without carbon capture and storage (CCS) will be built, except for identified units </w:t>
      </w:r>
      <w:r w:rsidR="00A57837">
        <w:t>for which construction has</w:t>
      </w:r>
      <w:r w:rsidRPr="004D722C">
        <w:t xml:space="preserve"> already begun;</w:t>
      </w:r>
    </w:p>
    <w:p w:rsidR="00C5174D" w:rsidRPr="004D722C" w:rsidRDefault="00C5174D" w:rsidP="006E689D">
      <w:pPr>
        <w:pStyle w:val="ListBullet"/>
      </w:pPr>
      <w:r w:rsidRPr="004D722C">
        <w:t>Increasingly stringent environmental regulations with respect to air emissions (SO</w:t>
      </w:r>
      <w:r w:rsidRPr="004D722C">
        <w:rPr>
          <w:vertAlign w:val="subscript"/>
        </w:rPr>
        <w:t>2</w:t>
      </w:r>
      <w:r w:rsidRPr="004D722C">
        <w:t>, NO</w:t>
      </w:r>
      <w:r w:rsidRPr="004D722C">
        <w:rPr>
          <w:vertAlign w:val="subscript"/>
        </w:rPr>
        <w:t>X</w:t>
      </w:r>
      <w:r w:rsidRPr="004D722C">
        <w:t xml:space="preserve"> and Hazardous Air Pollutants, or HAPs), coal combustion residuals, water usage at coal-fired generating facilities and renewable electricity mandates.</w:t>
      </w:r>
    </w:p>
    <w:p w:rsidR="00C5174D" w:rsidRPr="004D722C" w:rsidRDefault="00C5174D" w:rsidP="00D50AB8">
      <w:pPr>
        <w:pStyle w:val="BodyText"/>
      </w:pPr>
      <w:r w:rsidRPr="004D722C">
        <w:t xml:space="preserve">Since no model can </w:t>
      </w:r>
      <w:r w:rsidR="00721E65" w:rsidRPr="004D722C">
        <w:t xml:space="preserve">accurately </w:t>
      </w:r>
      <w:r w:rsidRPr="004D722C">
        <w:t>predict specific future outcomes</w:t>
      </w:r>
      <w:r>
        <w:t>,</w:t>
      </w:r>
      <w:r w:rsidRPr="004D722C">
        <w:t xml:space="preserve"> it is important to include </w:t>
      </w:r>
      <w:r>
        <w:t xml:space="preserve">a range of scenarios that </w:t>
      </w:r>
      <w:r w:rsidRPr="004D722C">
        <w:t>encompass the range of likely outcomes</w:t>
      </w:r>
      <w:r>
        <w:t xml:space="preserve"> for important factors that affect the planning process</w:t>
      </w:r>
      <w:r w:rsidRPr="004D722C">
        <w:t xml:space="preserve">.  </w:t>
      </w:r>
    </w:p>
    <w:p w:rsidR="00C5174D" w:rsidRPr="004D722C" w:rsidRDefault="00C5174D" w:rsidP="00005134">
      <w:pPr>
        <w:pStyle w:val="BodyText"/>
      </w:pPr>
      <w:r w:rsidRPr="004D722C">
        <w:t xml:space="preserve">For purposes of </w:t>
      </w:r>
      <w:r w:rsidR="00EF1566">
        <w:t>these</w:t>
      </w:r>
      <w:r w:rsidR="00EF1566" w:rsidRPr="004D722C">
        <w:t xml:space="preserve"> </w:t>
      </w:r>
      <w:r w:rsidRPr="004D722C">
        <w:t>forecast</w:t>
      </w:r>
      <w:r w:rsidR="00EF1566">
        <w:t>s</w:t>
      </w:r>
      <w:r w:rsidR="00CC1F92">
        <w:t>, three fuel views were selected.  These view</w:t>
      </w:r>
      <w:r w:rsidRPr="004D722C">
        <w:t>s were developed to encompass the range of potential fuel price outcomes.  These were then paired with each of three CO</w:t>
      </w:r>
      <w:r w:rsidRPr="004D722C">
        <w:rPr>
          <w:vertAlign w:val="subscript"/>
        </w:rPr>
        <w:t>2</w:t>
      </w:r>
      <w:r w:rsidRPr="004D722C">
        <w:t xml:space="preserve"> pri</w:t>
      </w:r>
      <w:r w:rsidR="00A57837">
        <w:t xml:space="preserve">ce paths - $0, $10, $20 (in </w:t>
      </w:r>
      <w:r w:rsidR="00635CDC">
        <w:rPr>
          <w:b/>
        </w:rPr>
        <w:t>REDACTED</w:t>
      </w:r>
      <w:r w:rsidRPr="004D722C">
        <w:t xml:space="preserve"> dollars) per metric ton of CO</w:t>
      </w:r>
      <w:r w:rsidRPr="004D722C">
        <w:rPr>
          <w:vertAlign w:val="subscript"/>
        </w:rPr>
        <w:t>2</w:t>
      </w:r>
      <w:r w:rsidR="00A57837">
        <w:t xml:space="preserve">, </w:t>
      </w:r>
      <w:r w:rsidRPr="004D722C">
        <w:t xml:space="preserve">increasing at </w:t>
      </w:r>
      <w:r w:rsidR="00635CDC">
        <w:rPr>
          <w:b/>
        </w:rPr>
        <w:t>REDACTED</w:t>
      </w:r>
      <w:r w:rsidRPr="004D722C">
        <w:t>% in real dollar terms</w:t>
      </w:r>
      <w:r w:rsidR="008E31ED">
        <w:t xml:space="preserve">. </w:t>
      </w:r>
      <w:r w:rsidR="006C4962">
        <w:t xml:space="preserve"> </w:t>
      </w:r>
      <w:r w:rsidRPr="004D722C">
        <w:t>Hereafter, the three CO</w:t>
      </w:r>
      <w:r w:rsidRPr="004D722C">
        <w:rPr>
          <w:vertAlign w:val="subscript"/>
        </w:rPr>
        <w:t>2</w:t>
      </w:r>
      <w:r w:rsidRPr="004D722C">
        <w:t xml:space="preserve"> price paths will be referred to as Existing, Moderate and Substantial CO</w:t>
      </w:r>
      <w:r w:rsidRPr="004D722C">
        <w:rPr>
          <w:vertAlign w:val="subscript"/>
        </w:rPr>
        <w:t>2</w:t>
      </w:r>
      <w:r w:rsidR="00CC1F92">
        <w:t xml:space="preserve"> policy views</w:t>
      </w:r>
      <w:r w:rsidRPr="004D722C">
        <w:t xml:space="preserve">, respectively.  </w:t>
      </w:r>
      <w:r w:rsidR="00242B98">
        <w:t>Pricing of CO</w:t>
      </w:r>
      <w:r w:rsidR="00242B98" w:rsidRPr="00A418EC">
        <w:rPr>
          <w:vertAlign w:val="subscript"/>
        </w:rPr>
        <w:t>2</w:t>
      </w:r>
      <w:r w:rsidR="00242B98">
        <w:t xml:space="preserve"> in the </w:t>
      </w:r>
      <w:r w:rsidR="00A57837">
        <w:t xml:space="preserve">Moderate policy </w:t>
      </w:r>
      <w:r w:rsidR="00CC1F92">
        <w:t xml:space="preserve">view </w:t>
      </w:r>
      <w:r w:rsidR="00A57837">
        <w:t xml:space="preserve">begins in 2017 and </w:t>
      </w:r>
      <w:r w:rsidR="00242B98">
        <w:t xml:space="preserve">in 2020 for </w:t>
      </w:r>
      <w:r w:rsidR="00A57837">
        <w:t xml:space="preserve">the Substantial policy </w:t>
      </w:r>
      <w:r w:rsidR="00CC1F92">
        <w:t>view</w:t>
      </w:r>
      <w:r w:rsidR="00A57837">
        <w:t xml:space="preserve">.  </w:t>
      </w:r>
      <w:r w:rsidRPr="004D722C">
        <w:t xml:space="preserve">The combination </w:t>
      </w:r>
      <w:r w:rsidR="00CC1F92">
        <w:t xml:space="preserve">of the three fuel price views and </w:t>
      </w:r>
      <w:r w:rsidRPr="004D722C">
        <w:t>the three CO</w:t>
      </w:r>
      <w:r w:rsidRPr="004D722C">
        <w:rPr>
          <w:vertAlign w:val="subscript"/>
        </w:rPr>
        <w:t>2</w:t>
      </w:r>
      <w:r w:rsidR="00530AFD">
        <w:t xml:space="preserve"> policy views produces nine</w:t>
      </w:r>
      <w:r w:rsidRPr="004D722C">
        <w:t xml:space="preserve"> integrated </w:t>
      </w:r>
      <w:r w:rsidR="00242B98">
        <w:t xml:space="preserve">scenario </w:t>
      </w:r>
      <w:r w:rsidRPr="004D722C">
        <w:t>forecasts of fuel prices.</w:t>
      </w:r>
    </w:p>
    <w:p w:rsidR="00C5174D" w:rsidRDefault="00C5174D" w:rsidP="00A42834">
      <w:pPr>
        <w:pStyle w:val="Heading2"/>
        <w:numPr>
          <w:ilvl w:val="1"/>
          <w:numId w:val="2"/>
        </w:numPr>
        <w:ind w:left="0" w:hanging="720"/>
        <w:rPr>
          <w:smallCaps w:val="0"/>
        </w:rPr>
      </w:pPr>
      <w:bookmarkStart w:id="5" w:name="_Ref337143466"/>
      <w:bookmarkStart w:id="6" w:name="_Toc340606118"/>
      <w:r w:rsidRPr="00081F44">
        <w:rPr>
          <w:smallCaps w:val="0"/>
        </w:rPr>
        <w:t>Short-Term and Long-Term Fuel Price Forecasting</w:t>
      </w:r>
      <w:bookmarkEnd w:id="5"/>
      <w:bookmarkEnd w:id="6"/>
    </w:p>
    <w:p w:rsidR="00C5174D" w:rsidRPr="00917D0E" w:rsidRDefault="00C5174D" w:rsidP="00D50AB8">
      <w:pPr>
        <w:pStyle w:val="BodyText"/>
        <w:rPr>
          <w:highlight w:val="yellow"/>
        </w:rPr>
      </w:pPr>
      <w:r w:rsidRPr="00081F44">
        <w:t xml:space="preserve">The models used in this analysis are focused on long-term results.  To account for this, and to utilize high-quality data on near-term expected prices, a blending approach is utilized.  Under this blending approach, Southern Company uses near-term data from futures markets and similar sources in the initial years (current year plus next two years) of their internal modeling efforts.  To bring together the near-term data with the long-term forecasted results Southern Company interpolates results </w:t>
      </w:r>
      <w:r w:rsidR="00EE6BED">
        <w:t>between the short and long terms</w:t>
      </w:r>
      <w:r>
        <w:t>,</w:t>
      </w:r>
      <w:r w:rsidRPr="00081F44">
        <w:t xml:space="preserve"> and then </w:t>
      </w:r>
      <w:r>
        <w:t>from</w:t>
      </w:r>
      <w:r w:rsidR="00B5754D">
        <w:t xml:space="preserve"> </w:t>
      </w:r>
      <w:r w:rsidR="00B5754D" w:rsidRPr="00AD42B3">
        <w:t>2017</w:t>
      </w:r>
      <w:r w:rsidRPr="00081F44">
        <w:t xml:space="preserve"> </w:t>
      </w:r>
      <w:r>
        <w:t xml:space="preserve">and after </w:t>
      </w:r>
      <w:r w:rsidRPr="00081F44">
        <w:t xml:space="preserve">the results from this report are utilized. </w:t>
      </w:r>
    </w:p>
    <w:p w:rsidR="00C5174D" w:rsidRPr="00081F44" w:rsidRDefault="00C5174D" w:rsidP="00382CF0">
      <w:pPr>
        <w:pStyle w:val="BodyText"/>
      </w:pPr>
      <w:r w:rsidRPr="00081F44">
        <w:t xml:space="preserve">Short-term forecasts are updated monthly as part of Southern Company’s fuel budgeting process and marginal pricing dispatch procedures.  The short-term forecasts are overseen by Southern Company’s Fuel Services department.  The long-term forecasts described in this report are developed in early spring of each year for use in system planning activities, business case analyses and decision making.  The development and documentation of the long-term forecasts is a collaborative effort between CRA and Southern Company and occurs as a part of the planning scenario development process under the guidance and direction of the Planning Coordination Team (PCT).  Once the updated long-term forecasts are developed, they are integrated with the short-term forecasts.   </w:t>
      </w:r>
    </w:p>
    <w:p w:rsidR="00242B98" w:rsidRDefault="00C5174D" w:rsidP="00D50AB8">
      <w:pPr>
        <w:pStyle w:val="BodyText"/>
      </w:pPr>
      <w:r w:rsidRPr="00081F44">
        <w:t xml:space="preserve">The short-term and long-term forecasts </w:t>
      </w:r>
      <w:r>
        <w:t xml:space="preserve">are separated for </w:t>
      </w:r>
      <w:r w:rsidRPr="00081F44">
        <w:t xml:space="preserve">two reasons.  The first is that the short-term forecasts are used for company activities such as </w:t>
      </w:r>
      <w:r>
        <w:t xml:space="preserve">regulatory </w:t>
      </w:r>
      <w:r w:rsidRPr="00081F44">
        <w:t xml:space="preserve">fuel filings and operational budgets, which must reflect current laws that are in place.  The long-term forecasts reflect a range of projections that take into account probable laws and regulations that are not yet in effect, yet represent Southern Company's expectation of a reasonable range of those future potential laws.  Secondly, the short-term forecasts are based on </w:t>
      </w:r>
      <w:r>
        <w:t>actual</w:t>
      </w:r>
      <w:r w:rsidRPr="00081F44">
        <w:t xml:space="preserve"> market prices, which reflect current market conditions and market assumptions of the near future but </w:t>
      </w:r>
      <w:r w:rsidR="00251FB4">
        <w:t xml:space="preserve">which do not always reflect </w:t>
      </w:r>
      <w:r w:rsidRPr="00081F44">
        <w:t xml:space="preserve">regulatory, legislative or other impacts assumed in the modeling of the multiple long-term scenario forecasts.  </w:t>
      </w:r>
    </w:p>
    <w:p w:rsidR="00912941" w:rsidRPr="00081F44" w:rsidRDefault="00912941" w:rsidP="00D50AB8">
      <w:pPr>
        <w:pStyle w:val="BodyText"/>
      </w:pPr>
      <w:r>
        <w:t xml:space="preserve">Further, the CRA </w:t>
      </w:r>
      <w:r w:rsidRPr="00912941">
        <w:t xml:space="preserve">natural gas model includes detailed projections of natural gas resources, cost curves and demand sectors through 2030. </w:t>
      </w:r>
      <w:r>
        <w:t xml:space="preserve"> </w:t>
      </w:r>
      <w:r w:rsidRPr="00912941">
        <w:t>Beyond 2030, such a detailed analysis is not practical due to the very high uncertainty of each of these factors, and prices were set based on scenarios of oil to natural gas ratios tha</w:t>
      </w:r>
      <w:r>
        <w:t xml:space="preserve">t were consistent with the gas model </w:t>
      </w:r>
      <w:r w:rsidRPr="00912941">
        <w:t>price trends from 2020-203</w:t>
      </w:r>
      <w:r>
        <w:t>0. In the low fuel price view</w:t>
      </w:r>
      <w:r w:rsidRPr="00912941">
        <w:t xml:space="preserve">, the 2030 oil to gas ratio </w:t>
      </w:r>
      <w:r>
        <w:t xml:space="preserve">was </w:t>
      </w:r>
      <w:r w:rsidR="00635CDC">
        <w:rPr>
          <w:b/>
        </w:rPr>
        <w:t>REDACTED</w:t>
      </w:r>
      <w:r w:rsidR="00A418EC">
        <w:t xml:space="preserve"> and declined to </w:t>
      </w:r>
      <w:r w:rsidR="00635CDC">
        <w:rPr>
          <w:b/>
        </w:rPr>
        <w:t>REDACTED</w:t>
      </w:r>
      <w:r w:rsidR="00A418EC">
        <w:t xml:space="preserve"> by 2050.  I</w:t>
      </w:r>
      <w:r>
        <w:t>n the moderate fuel price view</w:t>
      </w:r>
      <w:r w:rsidRPr="00912941">
        <w:t>, the 2030 r</w:t>
      </w:r>
      <w:r>
        <w:t xml:space="preserve">atio of </w:t>
      </w:r>
      <w:r w:rsidR="00635CDC">
        <w:rPr>
          <w:b/>
        </w:rPr>
        <w:t>REDACTED</w:t>
      </w:r>
      <w:r w:rsidR="00A418EC">
        <w:t xml:space="preserve"> declined to </w:t>
      </w:r>
      <w:r w:rsidR="00635CDC">
        <w:rPr>
          <w:b/>
        </w:rPr>
        <w:t>REDACTED</w:t>
      </w:r>
      <w:r w:rsidR="00A418EC">
        <w:t xml:space="preserve"> by 2050.  </w:t>
      </w:r>
      <w:proofErr w:type="gramStart"/>
      <w:r w:rsidR="00A418EC">
        <w:t>I</w:t>
      </w:r>
      <w:r>
        <w:t>n the high fuel price view</w:t>
      </w:r>
      <w:r w:rsidR="00961CC5">
        <w:t>,</w:t>
      </w:r>
      <w:r w:rsidRPr="00912941">
        <w:t xml:space="preserve"> the 2030 ratio of </w:t>
      </w:r>
      <w:r w:rsidR="00635CDC">
        <w:rPr>
          <w:b/>
        </w:rPr>
        <w:t>REDACTED</w:t>
      </w:r>
      <w:r w:rsidRPr="00912941">
        <w:t xml:space="preserve"> declined to </w:t>
      </w:r>
      <w:r w:rsidR="00635CDC">
        <w:rPr>
          <w:b/>
        </w:rPr>
        <w:t>REDACTED</w:t>
      </w:r>
      <w:r w:rsidRPr="00912941">
        <w:t xml:space="preserve"> by 2035 and stabilized at that level through 2050.</w:t>
      </w:r>
      <w:proofErr w:type="gramEnd"/>
    </w:p>
    <w:p w:rsidR="00C5174D" w:rsidRDefault="00C5174D" w:rsidP="00A42834">
      <w:pPr>
        <w:pStyle w:val="Heading2"/>
        <w:numPr>
          <w:ilvl w:val="1"/>
          <w:numId w:val="2"/>
        </w:numPr>
        <w:ind w:left="0" w:hanging="720"/>
        <w:rPr>
          <w:smallCaps w:val="0"/>
        </w:rPr>
      </w:pPr>
      <w:bookmarkStart w:id="7" w:name="_Toc340606119"/>
      <w:r w:rsidRPr="008B60CC">
        <w:rPr>
          <w:smallCaps w:val="0"/>
        </w:rPr>
        <w:t>Key Drivers</w:t>
      </w:r>
      <w:bookmarkEnd w:id="7"/>
    </w:p>
    <w:p w:rsidR="00C5174D" w:rsidRDefault="00C5174D" w:rsidP="00A42834">
      <w:pPr>
        <w:pStyle w:val="Heading3"/>
        <w:numPr>
          <w:ilvl w:val="2"/>
          <w:numId w:val="2"/>
        </w:numPr>
        <w:ind w:left="0" w:hanging="720"/>
      </w:pPr>
      <w:bookmarkStart w:id="8" w:name="_Toc340606120"/>
      <w:r w:rsidRPr="00F6511B">
        <w:t>Limitations on Electric Generation Baseload Capacity Additions</w:t>
      </w:r>
      <w:bookmarkEnd w:id="8"/>
    </w:p>
    <w:p w:rsidR="00C5174D" w:rsidRPr="00F6511B" w:rsidRDefault="00C5174D" w:rsidP="00D50AB8">
      <w:pPr>
        <w:pStyle w:val="BodyText"/>
      </w:pPr>
      <w:r w:rsidRPr="00F6511B">
        <w:t>There are many new generating capacity options in the electric sector, including coal</w:t>
      </w:r>
      <w:r>
        <w:t xml:space="preserve">, </w:t>
      </w:r>
      <w:r w:rsidRPr="00F6511B">
        <w:t>natural gas</w:t>
      </w:r>
      <w:r>
        <w:t xml:space="preserve">, </w:t>
      </w:r>
      <w:r w:rsidRPr="00F6511B">
        <w:t>nuclear capacity</w:t>
      </w:r>
      <w:r w:rsidR="00B5754D">
        <w:t>, and renewables</w:t>
      </w:r>
      <w:r>
        <w:t>.</w:t>
      </w:r>
    </w:p>
    <w:p w:rsidR="00C5174D" w:rsidRPr="00F6511B" w:rsidRDefault="00C5174D" w:rsidP="007D22E3">
      <w:pPr>
        <w:pStyle w:val="BodyText"/>
      </w:pPr>
      <w:r w:rsidRPr="00F6511B">
        <w:t xml:space="preserve">While there are many different options, </w:t>
      </w:r>
      <w:r w:rsidR="007729DF">
        <w:t xml:space="preserve">political and </w:t>
      </w:r>
      <w:r w:rsidRPr="00F6511B">
        <w:t xml:space="preserve">economic realities suggest that there are limitations on the quantity and timing of these potential new generating additions.  To reflect these realities, limits on several types of generating capacities have been applied:  </w:t>
      </w:r>
    </w:p>
    <w:p w:rsidR="00C5174D" w:rsidRPr="00F6511B" w:rsidRDefault="00C5174D" w:rsidP="0036346D">
      <w:pPr>
        <w:pStyle w:val="ListBullet"/>
      </w:pPr>
      <w:r w:rsidRPr="00F6511B">
        <w:t xml:space="preserve">New coal units </w:t>
      </w:r>
      <w:r w:rsidRPr="00F6511B">
        <w:rPr>
          <w:i/>
        </w:rPr>
        <w:t>without CCS</w:t>
      </w:r>
      <w:r w:rsidRPr="00F6511B">
        <w:t xml:space="preserve"> are limited to those projects that are currently under construction.  </w:t>
      </w:r>
    </w:p>
    <w:p w:rsidR="00C5174D" w:rsidRPr="00F6511B" w:rsidRDefault="00E8250C" w:rsidP="00D50AB8">
      <w:pPr>
        <w:pStyle w:val="ListBullet"/>
      </w:pPr>
      <w:r>
        <w:t>CCS</w:t>
      </w:r>
      <w:r w:rsidR="006E7873">
        <w:t xml:space="preserve"> technology on new coal units and new nuclear generating units are</w:t>
      </w:r>
      <w:r>
        <w:t xml:space="preserve"> assumed unavailable</w:t>
      </w:r>
      <w:r w:rsidRPr="00F6511B">
        <w:t xml:space="preserve"> </w:t>
      </w:r>
      <w:r w:rsidRPr="008B60CC">
        <w:t xml:space="preserve">until </w:t>
      </w:r>
      <w:r w:rsidR="00635CDC">
        <w:rPr>
          <w:b/>
        </w:rPr>
        <w:t>REDACTED</w:t>
      </w:r>
      <w:r w:rsidR="006E7873" w:rsidRPr="00595B4A">
        <w:t>.</w:t>
      </w:r>
      <w:r w:rsidR="000136FE" w:rsidRPr="00595B4A">
        <w:rPr>
          <w:rStyle w:val="FootnoteReference"/>
        </w:rPr>
        <w:footnoteReference w:id="1"/>
      </w:r>
      <w:r w:rsidR="006E7873">
        <w:t xml:space="preserve">  New nuclear generating capacity </w:t>
      </w:r>
      <w:r w:rsidR="00C5174D" w:rsidRPr="00F6511B">
        <w:t>may be limited by several factors including manufacturing capacity</w:t>
      </w:r>
      <w:r w:rsidR="00C5174D">
        <w:t>,</w:t>
      </w:r>
      <w:r w:rsidR="00C5174D" w:rsidRPr="00F6511B">
        <w:t xml:space="preserve"> the </w:t>
      </w:r>
      <w:r w:rsidR="00C5174D" w:rsidRPr="00F6511B">
        <w:rPr>
          <w:rFonts w:cs="Arial"/>
          <w:color w:val="000000"/>
        </w:rPr>
        <w:t>ability to finance,</w:t>
      </w:r>
      <w:r w:rsidR="00C5174D" w:rsidRPr="00F6511B">
        <w:t xml:space="preserve"> and delays or objections to operating or </w:t>
      </w:r>
      <w:r w:rsidR="00624CF4">
        <w:t xml:space="preserve">obtaining </w:t>
      </w:r>
      <w:r w:rsidR="00C5174D" w:rsidRPr="00F6511B">
        <w:t>environmental permits due to public perceptions regarding nuclear technol</w:t>
      </w:r>
      <w:r w:rsidR="00451C83">
        <w:t>ogy.  These two technologies, which are</w:t>
      </w:r>
      <w:r w:rsidR="00C5174D" w:rsidRPr="00F6511B">
        <w:t xml:space="preserve"> low carbon </w:t>
      </w:r>
      <w:proofErr w:type="spellStart"/>
      <w:r w:rsidR="00C5174D" w:rsidRPr="00F6511B">
        <w:t>baseload</w:t>
      </w:r>
      <w:proofErr w:type="spellEnd"/>
      <w:r w:rsidR="00C5174D" w:rsidRPr="00F6511B">
        <w:t xml:space="preserve"> resources </w:t>
      </w:r>
      <w:r w:rsidR="00451C83">
        <w:t xml:space="preserve">that </w:t>
      </w:r>
      <w:r w:rsidR="00C5174D" w:rsidRPr="00F6511B">
        <w:t>are likely to compete against each other</w:t>
      </w:r>
      <w:r w:rsidR="00451C83">
        <w:t xml:space="preserve">, </w:t>
      </w:r>
      <w:r w:rsidR="00C5174D" w:rsidRPr="00F6511B">
        <w:t xml:space="preserve">are jointly limited </w:t>
      </w:r>
      <w:r w:rsidR="00451C83">
        <w:t>in the model.</w:t>
      </w:r>
    </w:p>
    <w:p w:rsidR="00C5174D" w:rsidRPr="00F6511B" w:rsidRDefault="00C5174D" w:rsidP="00D50AB8">
      <w:pPr>
        <w:pStyle w:val="ListBullet"/>
      </w:pPr>
      <w:r w:rsidRPr="00F6511B">
        <w:t xml:space="preserve">New additions of intermittent resources such as wind and solar are limited to ensure a </w:t>
      </w:r>
      <w:r w:rsidR="00186C86">
        <w:t xml:space="preserve">reliable </w:t>
      </w:r>
      <w:r>
        <w:t>supply</w:t>
      </w:r>
      <w:r w:rsidRPr="00F6511B">
        <w:t xml:space="preserve"> system.  Other renewables such as biomass, landfill gas and geothermal have regional limits based on available resources such as </w:t>
      </w:r>
      <w:proofErr w:type="spellStart"/>
      <w:r w:rsidRPr="00F6511B">
        <w:t>feedstocks</w:t>
      </w:r>
      <w:proofErr w:type="spellEnd"/>
      <w:r w:rsidRPr="00F6511B">
        <w:t xml:space="preserve"> and geologic suitability.</w:t>
      </w:r>
    </w:p>
    <w:p w:rsidR="00C5174D" w:rsidRPr="00F6511B" w:rsidRDefault="00C5174D" w:rsidP="007D22E3">
      <w:pPr>
        <w:pStyle w:val="BodyText"/>
      </w:pPr>
      <w:r w:rsidRPr="00F6511B">
        <w:t xml:space="preserve">All of these limitations have consequences for </w:t>
      </w:r>
      <w:r w:rsidR="00557A4F">
        <w:t>the fuel price views</w:t>
      </w:r>
      <w:r w:rsidRPr="00F6511B">
        <w:t>.  Natural gas prices are particularly sensitive to these assumptions as natural ga</w:t>
      </w:r>
      <w:r w:rsidR="00530AFD">
        <w:t xml:space="preserve">s becomes a transition </w:t>
      </w:r>
      <w:r w:rsidRPr="00F6511B">
        <w:t xml:space="preserve">fuel, if other generating technologies are </w:t>
      </w:r>
      <w:r w:rsidRPr="001A52F2">
        <w:t>limited.</w:t>
      </w:r>
    </w:p>
    <w:p w:rsidR="00C5174D" w:rsidRDefault="00C5174D" w:rsidP="00A42834">
      <w:pPr>
        <w:pStyle w:val="Heading3"/>
        <w:numPr>
          <w:ilvl w:val="2"/>
          <w:numId w:val="2"/>
        </w:numPr>
        <w:ind w:left="0" w:hanging="720"/>
      </w:pPr>
      <w:bookmarkStart w:id="9" w:name="_Ref337143384"/>
      <w:bookmarkStart w:id="10" w:name="_Toc340606121"/>
      <w:r w:rsidRPr="00056437">
        <w:t>Domestic Natural Gas Supply, Particularly From Shale</w:t>
      </w:r>
      <w:bookmarkEnd w:id="9"/>
      <w:bookmarkEnd w:id="10"/>
    </w:p>
    <w:p w:rsidR="008475D1" w:rsidRDefault="00C5174D" w:rsidP="007D22E3">
      <w:pPr>
        <w:pStyle w:val="BodyText"/>
      </w:pPr>
      <w:r w:rsidRPr="00081F44">
        <w:t>The</w:t>
      </w:r>
      <w:r w:rsidR="008475D1">
        <w:t xml:space="preserve"> two</w:t>
      </w:r>
      <w:r w:rsidRPr="00081F44">
        <w:t xml:space="preserve"> most important factor</w:t>
      </w:r>
      <w:r w:rsidR="008475D1">
        <w:t>s</w:t>
      </w:r>
      <w:r w:rsidR="00054C75">
        <w:t xml:space="preserve"> in developing </w:t>
      </w:r>
      <w:r w:rsidRPr="00081F44">
        <w:t xml:space="preserve">natural gas </w:t>
      </w:r>
      <w:r w:rsidR="00054C75">
        <w:t xml:space="preserve">views </w:t>
      </w:r>
      <w:r w:rsidR="00D777E7">
        <w:t>are the</w:t>
      </w:r>
      <w:r w:rsidR="00D777E7" w:rsidRPr="00081F44">
        <w:t xml:space="preserve"> </w:t>
      </w:r>
      <w:r w:rsidR="008475D1">
        <w:t>magnitude and timing of demand growth (including from power generation, industrial, transportation, and LNG exports)</w:t>
      </w:r>
      <w:r w:rsidR="00CE0C7E">
        <w:t>,</w:t>
      </w:r>
      <w:r w:rsidR="008475D1">
        <w:t xml:space="preserve"> and </w:t>
      </w:r>
      <w:r w:rsidRPr="00081F44">
        <w:t>the cost, magnitude and accessibility of shale resources.</w:t>
      </w:r>
    </w:p>
    <w:p w:rsidR="008475D1" w:rsidRDefault="008475D1" w:rsidP="007D22E3">
      <w:pPr>
        <w:pStyle w:val="BodyText"/>
      </w:pPr>
      <w:r>
        <w:t>Natural gas demand expectations vary widely as a function of expectations for:</w:t>
      </w:r>
    </w:p>
    <w:p w:rsidR="00C00726" w:rsidRDefault="008475D1" w:rsidP="00054C75">
      <w:pPr>
        <w:pStyle w:val="BodyText"/>
        <w:numPr>
          <w:ilvl w:val="0"/>
          <w:numId w:val="16"/>
        </w:numPr>
      </w:pPr>
      <w:r>
        <w:t>The impacts of economic growth and environmental policy on gas consumption in the power secto</w:t>
      </w:r>
      <w:r w:rsidR="005B7B5B">
        <w:t>r (especially relative to coal);</w:t>
      </w:r>
    </w:p>
    <w:p w:rsidR="00C00726" w:rsidRDefault="008475D1" w:rsidP="00054C75">
      <w:pPr>
        <w:pStyle w:val="BodyText"/>
        <w:numPr>
          <w:ilvl w:val="0"/>
          <w:numId w:val="16"/>
        </w:numPr>
      </w:pPr>
      <w:r>
        <w:t xml:space="preserve">The oil-gas price spread and its impact on the resuscitation and development of </w:t>
      </w:r>
      <w:r w:rsidR="000F6E95">
        <w:t>natural gas liquids (</w:t>
      </w:r>
      <w:r>
        <w:t>NGL</w:t>
      </w:r>
      <w:r w:rsidR="000F6E95">
        <w:t>) and natural gas-</w:t>
      </w:r>
      <w:r>
        <w:t>intensive industrial facilities such</w:t>
      </w:r>
      <w:r w:rsidR="00C85BE1">
        <w:t xml:space="preserve"> as</w:t>
      </w:r>
      <w:r>
        <w:t xml:space="preserve"> in the petrochemical</w:t>
      </w:r>
      <w:r w:rsidR="00D777E7">
        <w:t>, agribusiness</w:t>
      </w:r>
      <w:r w:rsidR="000F6E95">
        <w:t>,</w:t>
      </w:r>
      <w:r>
        <w:t xml:space="preserve"> and </w:t>
      </w:r>
      <w:r w:rsidR="00D777E7">
        <w:t>metals</w:t>
      </w:r>
      <w:r w:rsidR="000F6E95">
        <w:t xml:space="preserve"> industries</w:t>
      </w:r>
      <w:r w:rsidR="005B7B5B">
        <w:t>;</w:t>
      </w:r>
    </w:p>
    <w:p w:rsidR="00C00726" w:rsidRDefault="008475D1" w:rsidP="00054C75">
      <w:pPr>
        <w:pStyle w:val="BodyText"/>
        <w:numPr>
          <w:ilvl w:val="0"/>
          <w:numId w:val="16"/>
        </w:numPr>
      </w:pPr>
      <w:r>
        <w:t xml:space="preserve">The oil-gas price spread and energy policy impacts on the amount of natural gas consumed in the large and medium fleet vehicle sector </w:t>
      </w:r>
      <w:r w:rsidR="000F6E95">
        <w:t>(</w:t>
      </w:r>
      <w:r>
        <w:t xml:space="preserve">as LNG and </w:t>
      </w:r>
      <w:r w:rsidR="000F6E95">
        <w:t xml:space="preserve">compressed natural gas, or </w:t>
      </w:r>
      <w:r>
        <w:t>CNG</w:t>
      </w:r>
      <w:r w:rsidR="000F6E95">
        <w:t>)</w:t>
      </w:r>
      <w:r>
        <w:t>.</w:t>
      </w:r>
    </w:p>
    <w:p w:rsidR="00C5174D" w:rsidRPr="00081F44" w:rsidRDefault="008475D1" w:rsidP="007D22E3">
      <w:pPr>
        <w:pStyle w:val="BodyText"/>
      </w:pPr>
      <w:r>
        <w:t xml:space="preserve">The volume and cost of producible shale gas resources is equally important and equally subject to </w:t>
      </w:r>
      <w:r w:rsidR="00167704">
        <w:t>a wide</w:t>
      </w:r>
      <w:r>
        <w:t xml:space="preserve"> array of expectations.  </w:t>
      </w:r>
      <w:r w:rsidR="00C5174D" w:rsidRPr="00081F44">
        <w:t xml:space="preserve">If shale gas </w:t>
      </w:r>
      <w:r w:rsidR="00167704">
        <w:t>production</w:t>
      </w:r>
      <w:r w:rsidR="000F6E95">
        <w:t xml:space="preserve"> </w:t>
      </w:r>
      <w:r w:rsidR="00167704">
        <w:t>continues</w:t>
      </w:r>
      <w:r w:rsidR="00167704" w:rsidRPr="00081F44">
        <w:t xml:space="preserve"> </w:t>
      </w:r>
      <w:r w:rsidR="00167704">
        <w:t xml:space="preserve">to prove </w:t>
      </w:r>
      <w:r w:rsidR="00C5174D" w:rsidRPr="00081F44">
        <w:t>plentiful (and relatively inex</w:t>
      </w:r>
      <w:r w:rsidR="000F6E95">
        <w:t>pensive), then the U</w:t>
      </w:r>
      <w:r w:rsidR="00557A4F">
        <w:t>.</w:t>
      </w:r>
      <w:r w:rsidR="000F6E95">
        <w:t>S</w:t>
      </w:r>
      <w:r w:rsidR="00557A4F">
        <w:t>.</w:t>
      </w:r>
      <w:r w:rsidR="00C5174D" w:rsidRPr="00081F44">
        <w:t xml:space="preserve"> will be self-sufficient in natural gas supply, and prices will be set by the interplay of shale gas production economics and demand in the electric power</w:t>
      </w:r>
      <w:r w:rsidR="00167704">
        <w:t>,</w:t>
      </w:r>
      <w:r w:rsidR="000F6E95">
        <w:t xml:space="preserve"> </w:t>
      </w:r>
      <w:r w:rsidR="00C5174D">
        <w:t>industria</w:t>
      </w:r>
      <w:r w:rsidR="00CE0C7E">
        <w:t>l</w:t>
      </w:r>
      <w:r w:rsidR="00167704">
        <w:t xml:space="preserve"> and transportation</w:t>
      </w:r>
      <w:r w:rsidR="00C5174D">
        <w:t xml:space="preserve"> </w:t>
      </w:r>
      <w:r w:rsidR="00C5174D" w:rsidRPr="00081F44">
        <w:t>sector</w:t>
      </w:r>
      <w:r w:rsidR="00C5174D">
        <w:t>s</w:t>
      </w:r>
      <w:r w:rsidR="00D777E7">
        <w:t>, with only a modest upwards drift in prices</w:t>
      </w:r>
      <w:r w:rsidR="00C5174D" w:rsidRPr="00081F44">
        <w:t>.</w:t>
      </w:r>
    </w:p>
    <w:p w:rsidR="008475D1" w:rsidRDefault="00C5174D" w:rsidP="007D22E3">
      <w:pPr>
        <w:pStyle w:val="BodyText"/>
      </w:pPr>
      <w:r w:rsidRPr="00081F44">
        <w:t xml:space="preserve">If shale production does not materialize on the scale and at the cost </w:t>
      </w:r>
      <w:r w:rsidR="00167704">
        <w:t xml:space="preserve">many </w:t>
      </w:r>
      <w:r w:rsidRPr="00081F44">
        <w:t xml:space="preserve">now </w:t>
      </w:r>
      <w:r w:rsidR="00167704">
        <w:t>expect</w:t>
      </w:r>
      <w:r w:rsidRPr="00081F44">
        <w:t xml:space="preserve">, </w:t>
      </w:r>
      <w:r w:rsidR="00167704">
        <w:t>this factor combined with growing demand and LNG exports could eventually produce</w:t>
      </w:r>
      <w:r w:rsidR="00D777E7">
        <w:t xml:space="preserve"> stronger</w:t>
      </w:r>
      <w:r w:rsidR="00167704">
        <w:t xml:space="preserve"> upward price impacts.</w:t>
      </w:r>
    </w:p>
    <w:p w:rsidR="00884853" w:rsidRDefault="00C5174D" w:rsidP="007D22E3">
      <w:pPr>
        <w:pStyle w:val="BodyText"/>
      </w:pPr>
      <w:r w:rsidRPr="00081F44">
        <w:t>Thus, there could be a</w:t>
      </w:r>
      <w:r w:rsidR="000F6E95">
        <w:t xml:space="preserve"> discontinuity between natural gas views</w:t>
      </w:r>
      <w:r w:rsidRPr="00081F44">
        <w:t xml:space="preserve"> in which domestic supply can satisfy domestic demand at </w:t>
      </w:r>
      <w:r w:rsidR="00167704">
        <w:t xml:space="preserve">sustained low </w:t>
      </w:r>
      <w:r w:rsidRPr="00081F44">
        <w:t xml:space="preserve">prices </w:t>
      </w:r>
      <w:r w:rsidR="00167704">
        <w:t xml:space="preserve">well </w:t>
      </w:r>
      <w:r w:rsidRPr="00081F44">
        <w:t xml:space="preserve">below the </w:t>
      </w:r>
      <w:r w:rsidR="000F6E95">
        <w:t>world price of LNG, and view</w:t>
      </w:r>
      <w:r w:rsidRPr="00081F44">
        <w:t xml:space="preserve">s in which </w:t>
      </w:r>
      <w:r w:rsidR="00D777E7">
        <w:t xml:space="preserve">high demand growth and </w:t>
      </w:r>
      <w:r w:rsidR="00167704">
        <w:t>shale production constraints drive prices higher to levels that narrow differentials with LNG prices and thus begin to impact the export thesis for L</w:t>
      </w:r>
      <w:r w:rsidR="000F6E95">
        <w:t>NG over the long</w:t>
      </w:r>
      <w:r w:rsidR="00C85BE1">
        <w:t xml:space="preserve"> </w:t>
      </w:r>
      <w:r w:rsidR="00167704">
        <w:t xml:space="preserve">term.  </w:t>
      </w:r>
      <w:r w:rsidRPr="00F601DD">
        <w:t>During th</w:t>
      </w:r>
      <w:r w:rsidR="000F6E95">
        <w:t>e period between preparing the B</w:t>
      </w:r>
      <w:r w:rsidRPr="00F601DD">
        <w:t>udget 201</w:t>
      </w:r>
      <w:r w:rsidR="00884853">
        <w:t>2</w:t>
      </w:r>
      <w:r w:rsidR="00603F46">
        <w:t xml:space="preserve"> fuel price views</w:t>
      </w:r>
      <w:r w:rsidR="000F6E95">
        <w:t xml:space="preserve"> and starting the B</w:t>
      </w:r>
      <w:r w:rsidRPr="00F601DD">
        <w:t>udget 201</w:t>
      </w:r>
      <w:r w:rsidR="00884853">
        <w:t>3</w:t>
      </w:r>
      <w:r w:rsidRPr="00F601DD">
        <w:t xml:space="preserve"> analysis, </w:t>
      </w:r>
      <w:r>
        <w:t>t</w:t>
      </w:r>
      <w:r w:rsidRPr="00F601DD">
        <w:t xml:space="preserve">here </w:t>
      </w:r>
      <w:r>
        <w:t>was</w:t>
      </w:r>
      <w:r w:rsidRPr="00F601DD">
        <w:t xml:space="preserve"> </w:t>
      </w:r>
      <w:r>
        <w:t>further confirmation of the</w:t>
      </w:r>
      <w:r w:rsidRPr="00F601DD">
        <w:t xml:space="preserve"> si</w:t>
      </w:r>
      <w:r w:rsidR="00884853">
        <w:t xml:space="preserve">ze of the shale gas resource, particularly shale gas from </w:t>
      </w:r>
      <w:r w:rsidR="004239A9">
        <w:t>“</w:t>
      </w:r>
      <w:r w:rsidR="00884853">
        <w:t>liquids-rich</w:t>
      </w:r>
      <w:r w:rsidR="004239A9">
        <w:t>”</w:t>
      </w:r>
      <w:r w:rsidR="00884853">
        <w:t xml:space="preserve"> plays. </w:t>
      </w:r>
      <w:r w:rsidR="00FA7EF0">
        <w:t xml:space="preserve"> </w:t>
      </w:r>
      <w:r w:rsidR="00884853">
        <w:t>The net result is that B</w:t>
      </w:r>
      <w:r w:rsidR="003C6F4F">
        <w:t xml:space="preserve">udget </w:t>
      </w:r>
      <w:r w:rsidR="00884853">
        <w:t>2013 natural gas p</w:t>
      </w:r>
      <w:r w:rsidR="00603F46">
        <w:t>rices are lower for all three fuel price views</w:t>
      </w:r>
      <w:r w:rsidR="00884853">
        <w:t xml:space="preserve">. </w:t>
      </w:r>
      <w:r w:rsidR="00603F46">
        <w:t xml:space="preserve"> </w:t>
      </w:r>
      <w:r w:rsidR="00884853">
        <w:t>LNG plays a role only</w:t>
      </w:r>
      <w:r w:rsidR="00603F46">
        <w:t xml:space="preserve"> in the High price view</w:t>
      </w:r>
      <w:r w:rsidR="00884853">
        <w:t xml:space="preserve"> and then only in the long term. </w:t>
      </w:r>
    </w:p>
    <w:p w:rsidR="00884853" w:rsidRDefault="00FA7EF0" w:rsidP="007D22E3">
      <w:pPr>
        <w:pStyle w:val="BodyText"/>
      </w:pPr>
      <w:r>
        <w:t>Also new for B</w:t>
      </w:r>
      <w:r w:rsidR="002318E1">
        <w:t xml:space="preserve">udget </w:t>
      </w:r>
      <w:r>
        <w:t xml:space="preserve">2013 is the </w:t>
      </w:r>
      <w:r w:rsidR="00D777E7">
        <w:t xml:space="preserve">possibility </w:t>
      </w:r>
      <w:r>
        <w:t xml:space="preserve">that demand for domestic natural gas </w:t>
      </w:r>
      <w:r w:rsidR="00D777E7">
        <w:t xml:space="preserve">might </w:t>
      </w:r>
      <w:r>
        <w:t xml:space="preserve">increase due to LNG exports, </w:t>
      </w:r>
      <w:r w:rsidR="00D777E7">
        <w:t>as well</w:t>
      </w:r>
      <w:r w:rsidR="00395817">
        <w:t xml:space="preserve"> </w:t>
      </w:r>
      <w:r w:rsidR="00D777E7">
        <w:t xml:space="preserve">as </w:t>
      </w:r>
      <w:r>
        <w:t xml:space="preserve">an industrial resurgence and </w:t>
      </w:r>
      <w:r w:rsidR="00395817">
        <w:t xml:space="preserve">growth in </w:t>
      </w:r>
      <w:r>
        <w:t>transportation use of natural gas.  We assume increasing level</w:t>
      </w:r>
      <w:r w:rsidR="00603F46">
        <w:t>s of new demand going from the Low price fuel view to the H</w:t>
      </w:r>
      <w:r w:rsidR="00CD2331">
        <w:t>igh price fuel view</w:t>
      </w:r>
      <w:r>
        <w:t xml:space="preserve">.  </w:t>
      </w:r>
    </w:p>
    <w:p w:rsidR="00C5174D" w:rsidRDefault="00C5174D" w:rsidP="00A42834">
      <w:pPr>
        <w:pStyle w:val="Heading3"/>
        <w:numPr>
          <w:ilvl w:val="2"/>
          <w:numId w:val="2"/>
        </w:numPr>
        <w:ind w:left="0" w:hanging="720"/>
      </w:pPr>
      <w:bookmarkStart w:id="11" w:name="_Toc340606122"/>
      <w:r w:rsidRPr="008B60CC">
        <w:t>Expected Environmental Regulations</w:t>
      </w:r>
      <w:bookmarkEnd w:id="11"/>
    </w:p>
    <w:p w:rsidR="00C5174D" w:rsidRPr="00F6511B" w:rsidRDefault="00C5174D" w:rsidP="00D16E06">
      <w:pPr>
        <w:pStyle w:val="BodyText"/>
      </w:pPr>
      <w:r w:rsidRPr="00F6511B">
        <w:t>A range of new environmental regulations is on the horizon.  These regulations are expected to cover air emissions (such as SO</w:t>
      </w:r>
      <w:r w:rsidRPr="00F6511B">
        <w:rPr>
          <w:vertAlign w:val="subscript"/>
        </w:rPr>
        <w:t>2</w:t>
      </w:r>
      <w:r w:rsidRPr="00F6511B">
        <w:t>, NO</w:t>
      </w:r>
      <w:r w:rsidRPr="00F6511B">
        <w:rPr>
          <w:vertAlign w:val="subscript"/>
        </w:rPr>
        <w:t>X</w:t>
      </w:r>
      <w:r w:rsidR="005B7B5B">
        <w:t xml:space="preserve"> and HAPs), GHG</w:t>
      </w:r>
      <w:r w:rsidRPr="00F6511B">
        <w:t xml:space="preserve"> emissions like CO</w:t>
      </w:r>
      <w:r w:rsidRPr="00F6511B">
        <w:rPr>
          <w:vertAlign w:val="subscript"/>
        </w:rPr>
        <w:t>2</w:t>
      </w:r>
      <w:r w:rsidRPr="00F6511B">
        <w:t>, water usage, coal combustion residuals and mandates on renewable energy use (particularly in the electric sector).</w:t>
      </w:r>
    </w:p>
    <w:p w:rsidR="00C5174D" w:rsidRPr="00F6511B" w:rsidRDefault="00C5174D" w:rsidP="00D16E06">
      <w:pPr>
        <w:pStyle w:val="BodyText"/>
      </w:pPr>
      <w:r w:rsidRPr="00F6511B">
        <w:t>These regulations have several impacts on the operations of existing electric generators and the selecti</w:t>
      </w:r>
      <w:r w:rsidR="002B07E0">
        <w:t>on of the types of new generating capacity</w:t>
      </w:r>
      <w:r w:rsidRPr="00F6511B">
        <w:t xml:space="preserve"> to be built.  As many of these regulations place a significantly higher burden on existing coal-fired generators, these units face greater risks of retirement or lower dispatch</w:t>
      </w:r>
      <w:r w:rsidR="002B07E0">
        <w:t>.  Coal retirements and/or lower dispatch have</w:t>
      </w:r>
      <w:r w:rsidRPr="00F6511B">
        <w:t xml:space="preserve"> implications for </w:t>
      </w:r>
      <w:r w:rsidR="002B07E0">
        <w:t>the demand and pricing</w:t>
      </w:r>
      <w:r w:rsidRPr="00F6511B">
        <w:t xml:space="preserve"> of coal and natural gas, </w:t>
      </w:r>
      <w:r w:rsidR="002B07E0">
        <w:t xml:space="preserve">the latter of </w:t>
      </w:r>
      <w:r w:rsidRPr="00F6511B">
        <w:t>which can substitute for coal in the electric sector, especially in the near</w:t>
      </w:r>
      <w:r w:rsidR="007729DF">
        <w:t>-</w:t>
      </w:r>
      <w:r w:rsidRPr="00F6511B">
        <w:t>term.</w:t>
      </w:r>
    </w:p>
    <w:p w:rsidR="00C5174D" w:rsidRDefault="00C5174D" w:rsidP="00D50AB8">
      <w:pPr>
        <w:pStyle w:val="BodyText"/>
      </w:pPr>
      <w:r w:rsidRPr="00F6511B">
        <w:t>The range of CO</w:t>
      </w:r>
      <w:r w:rsidRPr="00F6511B">
        <w:rPr>
          <w:vertAlign w:val="subscript"/>
        </w:rPr>
        <w:t>2</w:t>
      </w:r>
      <w:r w:rsidR="00603F46">
        <w:t xml:space="preserve"> price views</w:t>
      </w:r>
      <w:r w:rsidRPr="00F6511B">
        <w:t xml:space="preserve"> considered in this year’s forecast</w:t>
      </w:r>
      <w:r w:rsidR="00EF5105">
        <w:t>s</w:t>
      </w:r>
      <w:r w:rsidRPr="00F6511B">
        <w:t xml:space="preserve"> has starting prices of $0 to $20 per metric ton of CO</w:t>
      </w:r>
      <w:r w:rsidRPr="00F6511B">
        <w:rPr>
          <w:vertAlign w:val="subscript"/>
        </w:rPr>
        <w:t>2</w:t>
      </w:r>
      <w:r w:rsidR="002B07E0">
        <w:t xml:space="preserve"> (in </w:t>
      </w:r>
      <w:r w:rsidR="00635CDC">
        <w:rPr>
          <w:b/>
        </w:rPr>
        <w:t>REDACTED</w:t>
      </w:r>
      <w:r w:rsidR="002B07E0">
        <w:t xml:space="preserve"> dollars)</w:t>
      </w:r>
      <w:r w:rsidRPr="00F6511B">
        <w:t xml:space="preserve">, and then </w:t>
      </w:r>
      <w:r w:rsidR="00C85BE1">
        <w:t>rises</w:t>
      </w:r>
      <w:r w:rsidRPr="00F6511B">
        <w:t xml:space="preserve"> at </w:t>
      </w:r>
      <w:r w:rsidR="00635CDC">
        <w:rPr>
          <w:b/>
        </w:rPr>
        <w:t>REDACTED</w:t>
      </w:r>
      <w:r w:rsidRPr="00F6511B">
        <w:t>% annually plus inflation.</w:t>
      </w:r>
      <w:r w:rsidR="002D73B3">
        <w:t xml:space="preserve">  </w:t>
      </w:r>
      <w:bookmarkStart w:id="12" w:name="_Toc246899980"/>
      <w:bookmarkStart w:id="13" w:name="_Toc246899981"/>
      <w:bookmarkStart w:id="14" w:name="_Toc246899982"/>
      <w:bookmarkEnd w:id="12"/>
      <w:bookmarkEnd w:id="13"/>
      <w:bookmarkEnd w:id="14"/>
      <w:r w:rsidRPr="00F6511B">
        <w:t>By analyzing a wide range of CO</w:t>
      </w:r>
      <w:r w:rsidRPr="00F6511B">
        <w:rPr>
          <w:vertAlign w:val="subscript"/>
        </w:rPr>
        <w:t>2</w:t>
      </w:r>
      <w:r w:rsidRPr="00F6511B">
        <w:t xml:space="preserve"> prices, including an </w:t>
      </w:r>
      <w:r w:rsidR="00603F46">
        <w:t>Existing CO</w:t>
      </w:r>
      <w:r w:rsidR="00603F46" w:rsidRPr="00603F46">
        <w:rPr>
          <w:vertAlign w:val="subscript"/>
        </w:rPr>
        <w:t>2</w:t>
      </w:r>
      <w:r w:rsidR="00603F46">
        <w:t xml:space="preserve"> </w:t>
      </w:r>
      <w:r w:rsidR="002D73B3">
        <w:t>policy</w:t>
      </w:r>
      <w:r w:rsidRPr="00F6511B">
        <w:t xml:space="preserve"> case where the price of CO</w:t>
      </w:r>
      <w:r w:rsidRPr="00F6511B">
        <w:rPr>
          <w:vertAlign w:val="subscript"/>
        </w:rPr>
        <w:t>2</w:t>
      </w:r>
      <w:r w:rsidRPr="00F6511B">
        <w:t xml:space="preserve"> is zero, a better understanding of the potential outcomes from carbon policy can be gained. </w:t>
      </w:r>
    </w:p>
    <w:p w:rsidR="00C46B60" w:rsidRDefault="0085499D" w:rsidP="00914B0D">
      <w:pPr>
        <w:pStyle w:val="BodyText"/>
      </w:pPr>
      <w:r>
        <w:t xml:space="preserve">The form </w:t>
      </w:r>
      <w:r w:rsidR="00E71AF6">
        <w:t xml:space="preserve">and stringency </w:t>
      </w:r>
      <w:r>
        <w:t>that CO</w:t>
      </w:r>
      <w:r w:rsidRPr="00CF7728">
        <w:rPr>
          <w:vertAlign w:val="subscript"/>
        </w:rPr>
        <w:t>2</w:t>
      </w:r>
      <w:r>
        <w:t xml:space="preserve"> emissions </w:t>
      </w:r>
      <w:r w:rsidR="00D33903">
        <w:t xml:space="preserve">control will take </w:t>
      </w:r>
      <w:r>
        <w:t xml:space="preserve">in electricity </w:t>
      </w:r>
      <w:r w:rsidR="00D33903">
        <w:t>generation is unclear.</w:t>
      </w:r>
      <w:r w:rsidR="00997DCD">
        <w:t xml:space="preserve"> </w:t>
      </w:r>
      <w:r w:rsidR="00D33903">
        <w:t xml:space="preserve"> At the beginning of 2011</w:t>
      </w:r>
      <w:r w:rsidR="00DF5EC0">
        <w:t xml:space="preserve">, </w:t>
      </w:r>
      <w:r w:rsidR="00D33903">
        <w:t>CO</w:t>
      </w:r>
      <w:r w:rsidR="00D33903" w:rsidRPr="00CF7728">
        <w:rPr>
          <w:vertAlign w:val="subscript"/>
        </w:rPr>
        <w:t>2</w:t>
      </w:r>
      <w:r w:rsidR="00D33903">
        <w:t xml:space="preserve"> became a pollutant controlled under the </w:t>
      </w:r>
      <w:r w:rsidR="005B7B5B">
        <w:t>Clean Air Act (“</w:t>
      </w:r>
      <w:r w:rsidR="00D33903">
        <w:t>C</w:t>
      </w:r>
      <w:r w:rsidR="005B7B5B">
        <w:t>AA”)</w:t>
      </w:r>
      <w:r w:rsidR="00D33903">
        <w:t xml:space="preserve">. </w:t>
      </w:r>
      <w:r w:rsidR="005B7B5B">
        <w:t xml:space="preserve"> </w:t>
      </w:r>
      <w:r w:rsidR="002D73B3">
        <w:t xml:space="preserve">On April 13, </w:t>
      </w:r>
      <w:r w:rsidR="00CF7728">
        <w:t>2012,</w:t>
      </w:r>
      <w:r w:rsidR="00F7613B">
        <w:t xml:space="preserve"> </w:t>
      </w:r>
      <w:r w:rsidR="002D73B3">
        <w:t>EPA proposed</w:t>
      </w:r>
      <w:r w:rsidR="00F7613B">
        <w:t xml:space="preserve"> New Source Performance Standards </w:t>
      </w:r>
      <w:r w:rsidR="00603F46">
        <w:t xml:space="preserve">(NSPS) </w:t>
      </w:r>
      <w:r w:rsidR="005B7B5B">
        <w:t>for GHGs</w:t>
      </w:r>
      <w:r w:rsidR="002D73B3">
        <w:t xml:space="preserve"> for new electric generating units</w:t>
      </w:r>
      <w:r w:rsidR="00F7613B">
        <w:t xml:space="preserve">. </w:t>
      </w:r>
      <w:r w:rsidR="002D73B3">
        <w:t>The proposed rule would n</w:t>
      </w:r>
      <w:r w:rsidR="00C46B60">
        <w:t xml:space="preserve">ot apply to existing generators or those for which construction begins during the subsequent 12 months.  The proposed rule would set </w:t>
      </w:r>
      <w:proofErr w:type="gramStart"/>
      <w:r w:rsidR="00BB661D">
        <w:t>a 1,000</w:t>
      </w:r>
      <w:proofErr w:type="gramEnd"/>
      <w:r w:rsidR="00C46B60">
        <w:t xml:space="preserve"> lbs CO</w:t>
      </w:r>
      <w:r w:rsidR="00C46B60" w:rsidRPr="00C46B60">
        <w:rPr>
          <w:vertAlign w:val="subscript"/>
        </w:rPr>
        <w:t>2</w:t>
      </w:r>
      <w:r w:rsidR="00C46B60">
        <w:t xml:space="preserve"> per MWh (gross) output-based standard</w:t>
      </w:r>
      <w:r w:rsidR="005570EE">
        <w:t>, with</w:t>
      </w:r>
      <w:r w:rsidR="00EF5105">
        <w:t xml:space="preserve"> an</w:t>
      </w:r>
      <w:r w:rsidR="005570EE">
        <w:t xml:space="preserve"> option to demonstrate compliance over 30 years</w:t>
      </w:r>
      <w:r w:rsidR="00C46B60">
        <w:t>.</w:t>
      </w:r>
      <w:r w:rsidR="00FE4EFE">
        <w:t xml:space="preserve">  </w:t>
      </w:r>
      <w:r w:rsidR="00FE4EFE" w:rsidRPr="00DA7048">
        <w:t>However, EPA’s language in the proposed rule</w:t>
      </w:r>
      <w:r w:rsidR="00DA7048">
        <w:t xml:space="preserve"> and past relevant </w:t>
      </w:r>
      <w:r w:rsidR="005B7B5B">
        <w:t xml:space="preserve">CAA </w:t>
      </w:r>
      <w:r w:rsidR="00EF5105" w:rsidRPr="00DA7048">
        <w:t>regulatory patterns</w:t>
      </w:r>
      <w:r w:rsidR="00FE4EFE" w:rsidRPr="00DA7048">
        <w:t xml:space="preserve"> foreshadow</w:t>
      </w:r>
      <w:r w:rsidR="00EF5105" w:rsidRPr="00DA7048">
        <w:t>s</w:t>
      </w:r>
      <w:r w:rsidR="00FE4EFE" w:rsidRPr="00DA7048">
        <w:t xml:space="preserve"> possible, future regulation of CO</w:t>
      </w:r>
      <w:r w:rsidR="00FE4EFE" w:rsidRPr="00DA7048">
        <w:rPr>
          <w:vertAlign w:val="subscript"/>
        </w:rPr>
        <w:t>2</w:t>
      </w:r>
      <w:r w:rsidR="00FE4EFE" w:rsidRPr="00DA7048">
        <w:t xml:space="preserve"> from existing generators.</w:t>
      </w:r>
      <w:r w:rsidR="00C46B60">
        <w:t xml:space="preserve">  </w:t>
      </w:r>
    </w:p>
    <w:p w:rsidR="00C5174D" w:rsidRPr="00F6511B" w:rsidRDefault="00CF7728" w:rsidP="00914B0D">
      <w:pPr>
        <w:pStyle w:val="BodyText"/>
      </w:pPr>
      <w:r>
        <w:t xml:space="preserve">The current </w:t>
      </w:r>
      <w:r w:rsidR="00372C9D">
        <w:t>A</w:t>
      </w:r>
      <w:r>
        <w:t>dministration has reaffirmed a commitment to reducing U</w:t>
      </w:r>
      <w:r w:rsidR="00557A4F">
        <w:t>.</w:t>
      </w:r>
      <w:r>
        <w:t>S</w:t>
      </w:r>
      <w:r w:rsidR="00557A4F">
        <w:t>.</w:t>
      </w:r>
      <w:r>
        <w:t xml:space="preserve"> </w:t>
      </w:r>
      <w:r w:rsidR="005B7B5B">
        <w:t>GHG</w:t>
      </w:r>
      <w:r>
        <w:t xml:space="preserve"> emissions and the Edison Electric Institute remains committed to reducing electricity GHG emissions to 80% below 2005 levels by 2050. </w:t>
      </w:r>
      <w:r w:rsidR="007729DF">
        <w:t xml:space="preserve"> </w:t>
      </w:r>
      <w:r w:rsidR="00FF5C50">
        <w:t>At the end of the previous decade, the U</w:t>
      </w:r>
      <w:r w:rsidR="00557A4F">
        <w:t>.</w:t>
      </w:r>
      <w:r w:rsidR="00FF5C50">
        <w:t>S</w:t>
      </w:r>
      <w:r w:rsidR="00557A4F">
        <w:t>.</w:t>
      </w:r>
      <w:r w:rsidR="00FF5C50">
        <w:t xml:space="preserve"> Congress </w:t>
      </w:r>
      <w:r w:rsidR="00FC0B14">
        <w:t>considered many proposals to reduce GHG emissions. One such proposal got as far as passing the U</w:t>
      </w:r>
      <w:r w:rsidR="00557A4F">
        <w:t>.</w:t>
      </w:r>
      <w:r w:rsidR="00FC0B14">
        <w:t>S</w:t>
      </w:r>
      <w:r w:rsidR="00557A4F">
        <w:t>.</w:t>
      </w:r>
      <w:r w:rsidR="00FC0B14">
        <w:t xml:space="preserve"> House of Representatives in 2009. Congress has also considered, but not passed</w:t>
      </w:r>
      <w:r w:rsidR="00C85BE1">
        <w:t>,</w:t>
      </w:r>
      <w:r w:rsidR="00FC0B14">
        <w:t xml:space="preserve"> legislation to preclud</w:t>
      </w:r>
      <w:r w:rsidR="005B7B5B">
        <w:t>e regulation of GHGs</w:t>
      </w:r>
      <w:r w:rsidR="00FC0B14">
        <w:t xml:space="preserve"> </w:t>
      </w:r>
      <w:r w:rsidR="005B7B5B">
        <w:t>under the existing CAA.</w:t>
      </w:r>
      <w:r w:rsidR="00FC0B14">
        <w:t xml:space="preserve"> </w:t>
      </w:r>
      <w:r w:rsidR="00372C9D">
        <w:t xml:space="preserve"> </w:t>
      </w:r>
      <w:r w:rsidR="00FC0B14">
        <w:t>In the absence of such legislation, the U</w:t>
      </w:r>
      <w:r w:rsidR="00557A4F">
        <w:t>.</w:t>
      </w:r>
      <w:r w:rsidR="00FC0B14">
        <w:t>S</w:t>
      </w:r>
      <w:r w:rsidR="00557A4F">
        <w:t>.</w:t>
      </w:r>
      <w:r w:rsidR="00FC0B14">
        <w:t xml:space="preserve"> EPA is proceeding to develop and implement GHG regulations under the existing </w:t>
      </w:r>
      <w:r w:rsidR="005B7B5B">
        <w:t xml:space="preserve">CAA </w:t>
      </w:r>
      <w:r w:rsidR="00BB661D" w:rsidRPr="00DA7048">
        <w:t>(and could propose regulations to reduce GHG emissions from existing sources)</w:t>
      </w:r>
      <w:r w:rsidR="00FC0B14" w:rsidRPr="00DA7048">
        <w:t>. The U</w:t>
      </w:r>
      <w:r w:rsidR="00557A4F" w:rsidRPr="00DA7048">
        <w:t>.</w:t>
      </w:r>
      <w:r w:rsidR="00FC0B14" w:rsidRPr="00DA7048">
        <w:t>S</w:t>
      </w:r>
      <w:r w:rsidR="00557A4F" w:rsidRPr="00DA7048">
        <w:t>.</w:t>
      </w:r>
      <w:r w:rsidR="00FC0B14" w:rsidRPr="00DA7048">
        <w:t xml:space="preserve"> Supreme Court has affirmed</w:t>
      </w:r>
      <w:r w:rsidR="00D6390C" w:rsidRPr="00DA7048">
        <w:t xml:space="preserve"> </w:t>
      </w:r>
      <w:r w:rsidR="00FC0B14" w:rsidRPr="00DA7048">
        <w:t>that the U</w:t>
      </w:r>
      <w:r w:rsidR="00557A4F" w:rsidRPr="00DA7048">
        <w:t>.</w:t>
      </w:r>
      <w:r w:rsidR="00FC0B14" w:rsidRPr="00DA7048">
        <w:t>S</w:t>
      </w:r>
      <w:r w:rsidR="00557A4F" w:rsidRPr="00DA7048">
        <w:t>.</w:t>
      </w:r>
      <w:r w:rsidR="00FC0B14" w:rsidRPr="00DA7048">
        <w:t xml:space="preserve"> EPA has the authority to proceed</w:t>
      </w:r>
      <w:r w:rsidR="00DF5EC0" w:rsidRPr="00DA7048">
        <w:t xml:space="preserve"> (</w:t>
      </w:r>
      <w:r w:rsidR="00DF5EC0" w:rsidRPr="00DA7048">
        <w:rPr>
          <w:i/>
        </w:rPr>
        <w:t>Massachusetts v. EPA</w:t>
      </w:r>
      <w:r w:rsidR="00DF5EC0" w:rsidRPr="00DA7048">
        <w:t>)</w:t>
      </w:r>
      <w:r w:rsidR="004030C4" w:rsidRPr="00DA7048">
        <w:t xml:space="preserve">, and legal challenges to </w:t>
      </w:r>
      <w:r w:rsidR="00DF5EC0" w:rsidRPr="00DA7048">
        <w:t>EPA’s</w:t>
      </w:r>
      <w:r w:rsidR="00FC0B14" w:rsidRPr="00DA7048">
        <w:t xml:space="preserve"> </w:t>
      </w:r>
      <w:r w:rsidR="00D6390C" w:rsidRPr="00DA7048">
        <w:t xml:space="preserve">particular </w:t>
      </w:r>
      <w:r w:rsidR="004030C4" w:rsidRPr="00DA7048">
        <w:t>approach were</w:t>
      </w:r>
      <w:r w:rsidR="00026438" w:rsidRPr="00DA7048">
        <w:t xml:space="preserve"> recently</w:t>
      </w:r>
      <w:r w:rsidR="00D6390C" w:rsidRPr="00DA7048">
        <w:t xml:space="preserve"> </w:t>
      </w:r>
      <w:r w:rsidR="004030C4" w:rsidRPr="00DA7048">
        <w:t>rejected by the courts</w:t>
      </w:r>
      <w:r w:rsidR="00D6390C" w:rsidRPr="00DA7048">
        <w:t>.</w:t>
      </w:r>
      <w:r w:rsidR="00026438" w:rsidRPr="00DA7048">
        <w:rPr>
          <w:rStyle w:val="FootnoteReference"/>
        </w:rPr>
        <w:footnoteReference w:id="2"/>
      </w:r>
      <w:r w:rsidR="00D6390C" w:rsidRPr="00DA7048">
        <w:t xml:space="preserve"> </w:t>
      </w:r>
      <w:r w:rsidR="00DA7048">
        <w:t xml:space="preserve"> </w:t>
      </w:r>
      <w:r w:rsidR="00C5174D" w:rsidRPr="00DA7048">
        <w:t>It should</w:t>
      </w:r>
      <w:r w:rsidR="00C5174D" w:rsidRPr="00F6511B">
        <w:t xml:space="preserve"> be noted that the impacts of a regulatory approach to GHG policy could potentially have much larger impacts on electricity generation than a legislative approach.  A regulatory approach may provide less flexibility and may be more costly than a legislative approach</w:t>
      </w:r>
      <w:r w:rsidR="007729DF">
        <w:t xml:space="preserve"> (for a given level of abatement)</w:t>
      </w:r>
      <w:r w:rsidR="00C5174D" w:rsidRPr="00F6511B">
        <w:t>.  Quantifying these costs in advance of final regulation is difficult, given the numerous regulatory approaches EPA may take under the CAA.</w:t>
      </w:r>
      <w:r w:rsidR="00E67E01">
        <w:t xml:space="preserve">  </w:t>
      </w:r>
      <w:r w:rsidR="00FF5C50">
        <w:t xml:space="preserve">  </w:t>
      </w:r>
    </w:p>
    <w:p w:rsidR="00997DCD" w:rsidRDefault="00FF5C50" w:rsidP="008E31ED">
      <w:pPr>
        <w:pStyle w:val="BodyText"/>
      </w:pPr>
      <w:r>
        <w:t xml:space="preserve">In the presence of </w:t>
      </w:r>
      <w:r w:rsidR="00914B0D">
        <w:t>uncertainty in the form and stringency of future CO</w:t>
      </w:r>
      <w:r w:rsidR="00914B0D" w:rsidRPr="00914B0D">
        <w:rPr>
          <w:vertAlign w:val="subscript"/>
        </w:rPr>
        <w:t>2</w:t>
      </w:r>
      <w:r w:rsidR="00914B0D">
        <w:t xml:space="preserve"> emissions, this analysis has considered three different </w:t>
      </w:r>
      <w:r>
        <w:t xml:space="preserve">carbon price </w:t>
      </w:r>
      <w:r w:rsidR="00603F46">
        <w:t>views</w:t>
      </w:r>
      <w:r w:rsidR="00914B0D">
        <w:t xml:space="preserve"> that span a wide range of possible</w:t>
      </w:r>
      <w:r w:rsidR="00E67E01">
        <w:t>,</w:t>
      </w:r>
      <w:r w:rsidR="00914B0D">
        <w:t xml:space="preserve"> future CO</w:t>
      </w:r>
      <w:r w:rsidR="00914B0D" w:rsidRPr="00914B0D">
        <w:rPr>
          <w:vertAlign w:val="subscript"/>
        </w:rPr>
        <w:t>2</w:t>
      </w:r>
      <w:r w:rsidR="00997DCD">
        <w:t xml:space="preserve"> stringency:</w:t>
      </w:r>
      <w:r w:rsidR="00914B0D">
        <w:t xml:space="preserve"> </w:t>
      </w:r>
    </w:p>
    <w:p w:rsidR="006C7FD4" w:rsidRDefault="00634759" w:rsidP="00A42834">
      <w:pPr>
        <w:pStyle w:val="BodyText"/>
        <w:numPr>
          <w:ilvl w:val="0"/>
          <w:numId w:val="9"/>
        </w:numPr>
      </w:pPr>
      <w:r>
        <w:t>The least str</w:t>
      </w:r>
      <w:r w:rsidR="00EC16D4">
        <w:t xml:space="preserve">ingent </w:t>
      </w:r>
      <w:r w:rsidR="009C4B98">
        <w:t>view</w:t>
      </w:r>
      <w:r w:rsidR="00EC16D4">
        <w:t xml:space="preserve"> respects E</w:t>
      </w:r>
      <w:r>
        <w:t>xisting CO</w:t>
      </w:r>
      <w:r w:rsidRPr="00EC16D4">
        <w:rPr>
          <w:vertAlign w:val="subscript"/>
        </w:rPr>
        <w:t>2</w:t>
      </w:r>
      <w:r>
        <w:t xml:space="preserve"> requirements, including a view that </w:t>
      </w:r>
      <w:r w:rsidR="00804463">
        <w:t xml:space="preserve">there will be </w:t>
      </w:r>
      <w:r>
        <w:t xml:space="preserve">no new coal </w:t>
      </w:r>
      <w:r w:rsidR="00804463">
        <w:t xml:space="preserve">units </w:t>
      </w:r>
      <w:r>
        <w:t>without CCS (except for the units</w:t>
      </w:r>
      <w:r w:rsidR="008877AD">
        <w:t xml:space="preserve"> currently under construction);</w:t>
      </w:r>
    </w:p>
    <w:p w:rsidR="006C7FD4" w:rsidRDefault="00EC16D4" w:rsidP="00A42834">
      <w:pPr>
        <w:pStyle w:val="BodyText"/>
        <w:numPr>
          <w:ilvl w:val="0"/>
          <w:numId w:val="9"/>
        </w:numPr>
      </w:pPr>
      <w:r>
        <w:t>The M</w:t>
      </w:r>
      <w:r w:rsidR="00804463">
        <w:t>oderate CO</w:t>
      </w:r>
      <w:r w:rsidR="00804463" w:rsidRPr="00EC16D4">
        <w:rPr>
          <w:vertAlign w:val="subscript"/>
        </w:rPr>
        <w:t>2</w:t>
      </w:r>
      <w:r w:rsidR="009C4B98">
        <w:t xml:space="preserve"> stringency view</w:t>
      </w:r>
      <w:r w:rsidR="00804463">
        <w:t xml:space="preserve"> adds a</w:t>
      </w:r>
      <w:r w:rsidR="00EF5105">
        <w:t>n economy-wide</w:t>
      </w:r>
      <w:r w:rsidR="00804463">
        <w:t xml:space="preserve"> price on CO</w:t>
      </w:r>
      <w:r w:rsidR="00804463" w:rsidRPr="00EC16D4">
        <w:rPr>
          <w:vertAlign w:val="subscript"/>
        </w:rPr>
        <w:t>2</w:t>
      </w:r>
      <w:r w:rsidR="00804463">
        <w:t xml:space="preserve"> emissions that begins at $10 per metric ton</w:t>
      </w:r>
      <w:r w:rsidR="00997DCD">
        <w:t xml:space="preserve"> (</w:t>
      </w:r>
      <w:r w:rsidR="00635CDC" w:rsidRPr="001B3B78">
        <w:rPr>
          <w:b/>
          <w:sz w:val="8"/>
          <w:szCs w:val="8"/>
        </w:rPr>
        <w:t>REDACTED</w:t>
      </w:r>
      <w:r w:rsidR="00E3278E">
        <w:t>$)</w:t>
      </w:r>
      <w:r w:rsidR="00997DCD">
        <w:t xml:space="preserve"> in 2017</w:t>
      </w:r>
      <w:r w:rsidR="00804463">
        <w:t xml:space="preserve"> </w:t>
      </w:r>
      <w:r w:rsidR="008877AD">
        <w:t xml:space="preserve">and rises at </w:t>
      </w:r>
      <w:r w:rsidR="00635CDC" w:rsidRPr="001B3B78">
        <w:rPr>
          <w:b/>
          <w:sz w:val="8"/>
          <w:szCs w:val="8"/>
        </w:rPr>
        <w:t>REDACTED</w:t>
      </w:r>
      <w:r w:rsidR="008877AD">
        <w:t>% above inflation;</w:t>
      </w:r>
      <w:r w:rsidR="00804463">
        <w:t xml:space="preserve"> </w:t>
      </w:r>
      <w:r w:rsidR="00997DCD">
        <w:t xml:space="preserve"> </w:t>
      </w:r>
    </w:p>
    <w:p w:rsidR="006C7FD4" w:rsidRDefault="00EC16D4" w:rsidP="00A42834">
      <w:pPr>
        <w:pStyle w:val="BodyText"/>
        <w:numPr>
          <w:ilvl w:val="0"/>
          <w:numId w:val="9"/>
        </w:numPr>
      </w:pPr>
      <w:r>
        <w:t>The S</w:t>
      </w:r>
      <w:r w:rsidR="00804463">
        <w:t>ubstantial CO</w:t>
      </w:r>
      <w:r w:rsidR="00804463" w:rsidRPr="00EC16D4">
        <w:rPr>
          <w:vertAlign w:val="subscript"/>
        </w:rPr>
        <w:t>2</w:t>
      </w:r>
      <w:r w:rsidR="009C4B98">
        <w:t xml:space="preserve"> stringency view</w:t>
      </w:r>
      <w:r w:rsidR="00804463">
        <w:t xml:space="preserve"> has a</w:t>
      </w:r>
      <w:r w:rsidR="00EF5105">
        <w:t>n economy-wide</w:t>
      </w:r>
      <w:r w:rsidR="00804463">
        <w:t xml:space="preserve"> </w:t>
      </w:r>
      <w:r w:rsidR="00EF5105">
        <w:t xml:space="preserve">price on </w:t>
      </w:r>
      <w:r w:rsidR="00804463">
        <w:t>CO</w:t>
      </w:r>
      <w:r w:rsidR="00804463" w:rsidRPr="00EC16D4">
        <w:rPr>
          <w:vertAlign w:val="subscript"/>
        </w:rPr>
        <w:t>2</w:t>
      </w:r>
      <w:r w:rsidR="00804463">
        <w:t xml:space="preserve"> </w:t>
      </w:r>
      <w:r w:rsidR="00EF5105">
        <w:t>emissions</w:t>
      </w:r>
      <w:r w:rsidR="00997DCD">
        <w:t xml:space="preserve"> that </w:t>
      </w:r>
      <w:r w:rsidR="00EF5105">
        <w:t>begins</w:t>
      </w:r>
      <w:r w:rsidR="00997DCD">
        <w:t xml:space="preserve"> at $20 per metric ton (</w:t>
      </w:r>
      <w:r w:rsidR="00635CDC" w:rsidRPr="001B3B78">
        <w:rPr>
          <w:b/>
          <w:sz w:val="8"/>
          <w:szCs w:val="8"/>
        </w:rPr>
        <w:t>REDACTED</w:t>
      </w:r>
      <w:r w:rsidR="00997DCD">
        <w:t xml:space="preserve">$) in 2020 and rises at </w:t>
      </w:r>
      <w:r w:rsidR="00635CDC" w:rsidRPr="001B3B78">
        <w:rPr>
          <w:b/>
          <w:sz w:val="8"/>
          <w:szCs w:val="8"/>
        </w:rPr>
        <w:t>REDACTED</w:t>
      </w:r>
      <w:r w:rsidR="00997DCD">
        <w:t>% above inflation</w:t>
      </w:r>
      <w:r w:rsidR="00804463">
        <w:t>.</w:t>
      </w:r>
      <w:r w:rsidR="00997DCD">
        <w:t xml:space="preserve"> </w:t>
      </w:r>
    </w:p>
    <w:p w:rsidR="00C5174D" w:rsidRDefault="00997DCD" w:rsidP="008E31ED">
      <w:pPr>
        <w:pStyle w:val="BodyText"/>
      </w:pPr>
      <w:r>
        <w:t xml:space="preserve">Both the Moderate and the </w:t>
      </w:r>
      <w:r w:rsidR="009C4B98">
        <w:t>Substantial carbon price views</w:t>
      </w:r>
      <w:r>
        <w:t xml:space="preserve"> are coupled with the assumption that new natural</w:t>
      </w:r>
      <w:r w:rsidR="00546BB0">
        <w:t xml:space="preserve"> gas combined-cycle power generators</w:t>
      </w:r>
      <w:r>
        <w:t xml:space="preserve"> will be re</w:t>
      </w:r>
      <w:r w:rsidR="00546BB0">
        <w:t xml:space="preserve">quired to have CCS </w:t>
      </w:r>
      <w:r>
        <w:t xml:space="preserve">technology beginning in 2030.  </w:t>
      </w:r>
      <w:r w:rsidR="00290807">
        <w:t>CRA bel</w:t>
      </w:r>
      <w:r w:rsidR="009C4B98">
        <w:t>ieves that this range of views</w:t>
      </w:r>
      <w:r w:rsidR="00290807">
        <w:t xml:space="preserve"> reasonably spans the current uncertainty in long-term CO</w:t>
      </w:r>
      <w:r w:rsidR="00290807" w:rsidRPr="00B85554">
        <w:rPr>
          <w:vertAlign w:val="subscript"/>
        </w:rPr>
        <w:t>2</w:t>
      </w:r>
      <w:r w:rsidR="006C7FD4">
        <w:t xml:space="preserve"> pricing </w:t>
      </w:r>
      <w:r w:rsidR="00290807">
        <w:t>relevant for electricity system planning.</w:t>
      </w:r>
      <w:r w:rsidR="006C7FD4">
        <w:t xml:space="preserve">  </w:t>
      </w:r>
      <w:bookmarkStart w:id="15" w:name="_Toc246899986"/>
      <w:bookmarkStart w:id="16" w:name="_Toc246934622"/>
      <w:bookmarkEnd w:id="15"/>
      <w:bookmarkEnd w:id="16"/>
      <w:r w:rsidR="00E67E01" w:rsidRPr="008877AD">
        <w:t>Political and economic developments over the last few years cause us to believe that our Substantial CO</w:t>
      </w:r>
      <w:r w:rsidR="00E67E01" w:rsidRPr="008877AD">
        <w:rPr>
          <w:vertAlign w:val="subscript"/>
        </w:rPr>
        <w:t>2</w:t>
      </w:r>
      <w:r w:rsidR="00E67E01" w:rsidRPr="008877AD">
        <w:t xml:space="preserve"> policy view is likely a reasonable high bound (and a higher price is not necessary to model)</w:t>
      </w:r>
      <w:r w:rsidR="009C4B98" w:rsidRPr="008877AD">
        <w:t>.</w:t>
      </w:r>
    </w:p>
    <w:p w:rsidR="001B3B78" w:rsidRDefault="00E83082" w:rsidP="00635CDC">
      <w:pPr>
        <w:spacing w:before="0" w:after="0"/>
        <w:ind w:left="0"/>
        <w:jc w:val="left"/>
        <w:rPr>
          <w:rFonts w:ascii="Arial" w:hAnsi="Arial" w:cs="Arial"/>
          <w:sz w:val="20"/>
        </w:rPr>
      </w:pPr>
      <w:r w:rsidRPr="008877AD">
        <w:rPr>
          <w:rFonts w:ascii="Arial" w:hAnsi="Arial" w:cs="Arial"/>
          <w:sz w:val="20"/>
        </w:rPr>
        <w:t xml:space="preserve">Summarizing, we have analyzed the nine </w:t>
      </w:r>
      <w:r w:rsidR="00E864F5" w:rsidRPr="008877AD">
        <w:rPr>
          <w:rFonts w:ascii="Arial" w:hAnsi="Arial" w:cs="Arial"/>
          <w:sz w:val="20"/>
        </w:rPr>
        <w:t>scenarios identified in</w:t>
      </w:r>
    </w:p>
    <w:p w:rsidR="00635CDC" w:rsidRPr="008877AD" w:rsidRDefault="00635CDC" w:rsidP="00635CDC">
      <w:pPr>
        <w:spacing w:before="0" w:after="0"/>
        <w:ind w:left="0"/>
        <w:jc w:val="left"/>
        <w:rPr>
          <w:rFonts w:ascii="Arial" w:hAnsi="Arial" w:cs="Arial"/>
          <w:b/>
          <w:sz w:val="20"/>
        </w:rPr>
      </w:pPr>
      <w:proofErr w:type="gramStart"/>
      <w:r>
        <w:rPr>
          <w:rFonts w:ascii="Arial" w:hAnsi="Arial" w:cs="Arial"/>
          <w:sz w:val="20"/>
        </w:rPr>
        <w:t>Figure 1.</w:t>
      </w:r>
      <w:proofErr w:type="gramEnd"/>
    </w:p>
    <w:p w:rsidR="00EF5105" w:rsidRPr="008877AD" w:rsidRDefault="00EF5105" w:rsidP="000A2134">
      <w:pPr>
        <w:spacing w:before="0" w:after="0"/>
        <w:ind w:left="0"/>
        <w:jc w:val="left"/>
        <w:rPr>
          <w:rFonts w:ascii="Arial" w:hAnsi="Arial" w:cs="Arial"/>
          <w:b/>
          <w:sz w:val="20"/>
        </w:rPr>
      </w:pPr>
    </w:p>
    <w:p w:rsidR="00426B34" w:rsidRPr="00426B34" w:rsidRDefault="00E864F5" w:rsidP="008335EA">
      <w:pPr>
        <w:pStyle w:val="Caption"/>
        <w:jc w:val="left"/>
      </w:pPr>
      <w:bookmarkStart w:id="17" w:name="_Ref337069892"/>
      <w:bookmarkStart w:id="18" w:name="_Toc340606163"/>
      <w:r>
        <w:t xml:space="preserve">Figure </w:t>
      </w:r>
      <w:r w:rsidR="005A317C">
        <w:fldChar w:fldCharType="begin"/>
      </w:r>
      <w:r w:rsidR="008C32FB">
        <w:instrText xml:space="preserve"> SEQ Figure \* ARABIC </w:instrText>
      </w:r>
      <w:r w:rsidR="005A317C">
        <w:fldChar w:fldCharType="separate"/>
      </w:r>
      <w:r w:rsidR="002C6968">
        <w:rPr>
          <w:noProof/>
        </w:rPr>
        <w:t>1</w:t>
      </w:r>
      <w:r w:rsidR="005A317C">
        <w:rPr>
          <w:noProof/>
        </w:rPr>
        <w:fldChar w:fldCharType="end"/>
      </w:r>
      <w:bookmarkEnd w:id="17"/>
      <w:r w:rsidR="00D93DC5">
        <w:t>:</w:t>
      </w:r>
      <w:r>
        <w:t xml:space="preserve">  Budget 2013 Planning Scenarios</w:t>
      </w:r>
      <w:bookmarkEnd w:id="18"/>
      <w:r w:rsidR="008335EA">
        <w:t xml:space="preserve"> </w:t>
      </w:r>
    </w:p>
    <w:p w:rsidR="00426B34" w:rsidRPr="00426B34" w:rsidRDefault="00426B34" w:rsidP="00DB7443">
      <w:pPr>
        <w:jc w:val="center"/>
      </w:pPr>
    </w:p>
    <w:tbl>
      <w:tblPr>
        <w:tblW w:w="5860" w:type="dxa"/>
        <w:tblCellMar>
          <w:left w:w="0" w:type="dxa"/>
          <w:right w:w="0" w:type="dxa"/>
        </w:tblCellMar>
        <w:tblLook w:val="0600"/>
      </w:tblPr>
      <w:tblGrid>
        <w:gridCol w:w="960"/>
        <w:gridCol w:w="1360"/>
        <w:gridCol w:w="1540"/>
        <w:gridCol w:w="2000"/>
      </w:tblGrid>
      <w:tr w:rsidR="00B04CE3" w:rsidRPr="00B04CE3" w:rsidTr="00B04CE3">
        <w:trPr>
          <w:trHeight w:val="255"/>
        </w:trPr>
        <w:tc>
          <w:tcPr>
            <w:tcW w:w="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26"/>
                <w:szCs w:val="36"/>
              </w:rPr>
            </w:pP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line="255" w:lineRule="atLeast"/>
              <w:ind w:left="0"/>
              <w:jc w:val="center"/>
              <w:textAlignment w:val="bottom"/>
              <w:rPr>
                <w:rFonts w:ascii="Arial" w:hAnsi="Arial" w:cs="Arial"/>
                <w:sz w:val="36"/>
                <w:szCs w:val="36"/>
              </w:rPr>
            </w:pPr>
            <w:r w:rsidRPr="00B04CE3">
              <w:rPr>
                <w:rFonts w:ascii="Arial" w:hAnsi="Arial" w:cs="Arial"/>
                <w:color w:val="000000" w:themeColor="dark1"/>
                <w:kern w:val="24"/>
                <w:sz w:val="20"/>
              </w:rPr>
              <w:t>CO</w:t>
            </w:r>
            <w:r w:rsidRPr="00B04CE3">
              <w:rPr>
                <w:rFonts w:ascii="Arial" w:hAnsi="Arial" w:cs="Arial"/>
                <w:color w:val="000000" w:themeColor="dark1"/>
                <w:kern w:val="24"/>
                <w:position w:val="-5"/>
                <w:sz w:val="20"/>
                <w:vertAlign w:val="subscript"/>
              </w:rPr>
              <w:t>2</w:t>
            </w:r>
            <w:r w:rsidRPr="00B04CE3">
              <w:rPr>
                <w:rFonts w:ascii="Arial" w:hAnsi="Arial" w:cs="Arial"/>
                <w:color w:val="000000" w:themeColor="dark1"/>
                <w:kern w:val="24"/>
                <w:sz w:val="20"/>
              </w:rPr>
              <w:t xml:space="preserve"> Views</w:t>
            </w:r>
          </w:p>
        </w:tc>
      </w:tr>
      <w:tr w:rsidR="00B04CE3" w:rsidRPr="00B04CE3" w:rsidTr="00B04CE3">
        <w:trPr>
          <w:trHeight w:val="1215"/>
        </w:trPr>
        <w:tc>
          <w:tcPr>
            <w:tcW w:w="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c>
          <w:tcPr>
            <w:tcW w:w="13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textAlignment w:val="bottom"/>
              <w:rPr>
                <w:rFonts w:ascii="Arial" w:hAnsi="Arial" w:cs="Arial"/>
                <w:sz w:val="36"/>
                <w:szCs w:val="36"/>
              </w:rPr>
            </w:pPr>
            <w:r w:rsidRPr="00B04CE3">
              <w:rPr>
                <w:rFonts w:ascii="Arial" w:hAnsi="Arial" w:cs="Arial"/>
                <w:color w:val="000000" w:themeColor="dark1"/>
                <w:kern w:val="24"/>
                <w:sz w:val="20"/>
              </w:rPr>
              <w:t>Existing</w:t>
            </w:r>
          </w:p>
          <w:p w:rsidR="00B04CE3" w:rsidRPr="00B04CE3" w:rsidRDefault="00B04CE3" w:rsidP="00B04CE3">
            <w:pPr>
              <w:spacing w:before="0" w:after="0"/>
              <w:ind w:left="0"/>
              <w:jc w:val="left"/>
              <w:textAlignment w:val="bottom"/>
              <w:rPr>
                <w:rFonts w:ascii="Arial" w:hAnsi="Arial" w:cs="Arial"/>
                <w:sz w:val="36"/>
                <w:szCs w:val="36"/>
              </w:rPr>
            </w:pPr>
            <w:r w:rsidRPr="00B04CE3">
              <w:rPr>
                <w:rFonts w:ascii="Arial" w:hAnsi="Arial" w:cs="Arial"/>
                <w:color w:val="000000" w:themeColor="dark1"/>
                <w:kern w:val="24"/>
                <w:sz w:val="20"/>
              </w:rPr>
              <w:t>($0/MTCO</w:t>
            </w:r>
            <w:r w:rsidRPr="00B04CE3">
              <w:rPr>
                <w:rFonts w:ascii="Arial" w:hAnsi="Arial" w:cs="Arial"/>
                <w:color w:val="000000" w:themeColor="dark1"/>
                <w:kern w:val="24"/>
                <w:position w:val="-5"/>
                <w:sz w:val="20"/>
                <w:vertAlign w:val="subscript"/>
              </w:rPr>
              <w:t>2</w:t>
            </w:r>
            <w:r w:rsidRPr="00B04CE3">
              <w:rPr>
                <w:rFonts w:ascii="Arial" w:hAnsi="Arial" w:cs="Arial"/>
                <w:color w:val="000000" w:themeColor="dark1"/>
                <w:kern w:val="24"/>
                <w:sz w:val="20"/>
              </w:rPr>
              <w:t>)</w:t>
            </w:r>
          </w:p>
        </w:tc>
        <w:tc>
          <w:tcPr>
            <w:tcW w:w="1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textAlignment w:val="bottom"/>
              <w:rPr>
                <w:rFonts w:ascii="Arial" w:hAnsi="Arial" w:cs="Arial"/>
                <w:sz w:val="36"/>
                <w:szCs w:val="36"/>
              </w:rPr>
            </w:pPr>
            <w:r w:rsidRPr="00B04CE3">
              <w:rPr>
                <w:rFonts w:ascii="Arial" w:hAnsi="Arial" w:cs="Arial"/>
                <w:color w:val="000000" w:themeColor="dark1"/>
                <w:kern w:val="24"/>
                <w:sz w:val="20"/>
              </w:rPr>
              <w:t>Moderate</w:t>
            </w:r>
          </w:p>
          <w:p w:rsidR="00B04CE3" w:rsidRPr="00B04CE3" w:rsidRDefault="00B04CE3" w:rsidP="00B04CE3">
            <w:pPr>
              <w:spacing w:before="0" w:after="0"/>
              <w:ind w:left="0"/>
              <w:jc w:val="left"/>
              <w:textAlignment w:val="bottom"/>
              <w:rPr>
                <w:rFonts w:ascii="Arial" w:hAnsi="Arial" w:cs="Arial"/>
                <w:sz w:val="36"/>
                <w:szCs w:val="36"/>
              </w:rPr>
            </w:pPr>
            <w:r w:rsidRPr="00B04CE3">
              <w:rPr>
                <w:rFonts w:ascii="Arial" w:hAnsi="Arial" w:cs="Arial"/>
                <w:color w:val="000000" w:themeColor="dark1"/>
                <w:kern w:val="24"/>
                <w:sz w:val="20"/>
              </w:rPr>
              <w:t>($10+/MTCO</w:t>
            </w:r>
            <w:r w:rsidRPr="00B04CE3">
              <w:rPr>
                <w:rFonts w:ascii="Arial" w:hAnsi="Arial" w:cs="Arial"/>
                <w:color w:val="000000" w:themeColor="dark1"/>
                <w:kern w:val="24"/>
                <w:position w:val="-5"/>
                <w:sz w:val="20"/>
                <w:vertAlign w:val="subscript"/>
              </w:rPr>
              <w:t>2</w:t>
            </w:r>
            <w:r w:rsidRPr="00B04CE3">
              <w:rPr>
                <w:rFonts w:ascii="Arial" w:hAnsi="Arial" w:cs="Arial"/>
                <w:color w:val="000000" w:themeColor="dark1"/>
                <w:kern w:val="24"/>
                <w:sz w:val="20"/>
              </w:rPr>
              <w:t>)</w:t>
            </w:r>
            <w:r w:rsidRPr="00B04CE3">
              <w:rPr>
                <w:rFonts w:ascii="Arial" w:hAnsi="Arial" w:cs="Arial"/>
                <w:color w:val="000000" w:themeColor="dark1"/>
                <w:kern w:val="24"/>
                <w:position w:val="6"/>
                <w:sz w:val="20"/>
                <w:vertAlign w:val="superscript"/>
              </w:rPr>
              <w:t>a</w:t>
            </w:r>
          </w:p>
          <w:p w:rsidR="00B04CE3" w:rsidRPr="00B04CE3" w:rsidRDefault="00B04CE3" w:rsidP="00B04CE3">
            <w:pPr>
              <w:spacing w:before="0" w:after="0"/>
              <w:ind w:left="0"/>
              <w:jc w:val="left"/>
              <w:textAlignment w:val="bottom"/>
              <w:rPr>
                <w:rFonts w:ascii="Arial" w:hAnsi="Arial" w:cs="Arial"/>
                <w:sz w:val="36"/>
                <w:szCs w:val="36"/>
              </w:rPr>
            </w:pPr>
            <w:r w:rsidRPr="00B04CE3">
              <w:rPr>
                <w:rFonts w:ascii="Arial" w:hAnsi="Arial" w:cs="Arial"/>
                <w:color w:val="000000" w:themeColor="dark1"/>
                <w:kern w:val="24"/>
                <w:sz w:val="20"/>
              </w:rPr>
              <w:t>Starts in 2017</w:t>
            </w:r>
          </w:p>
        </w:tc>
        <w:tc>
          <w:tcPr>
            <w:tcW w:w="20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textAlignment w:val="bottom"/>
              <w:rPr>
                <w:rFonts w:ascii="Arial" w:hAnsi="Arial" w:cs="Arial"/>
                <w:sz w:val="36"/>
                <w:szCs w:val="36"/>
              </w:rPr>
            </w:pPr>
            <w:r w:rsidRPr="00B04CE3">
              <w:rPr>
                <w:rFonts w:ascii="Arial" w:hAnsi="Arial" w:cs="Arial"/>
                <w:color w:val="000000" w:themeColor="dark1"/>
                <w:kern w:val="24"/>
                <w:sz w:val="20"/>
              </w:rPr>
              <w:t xml:space="preserve">Substantial </w:t>
            </w:r>
          </w:p>
          <w:p w:rsidR="00B04CE3" w:rsidRPr="00B04CE3" w:rsidRDefault="00B04CE3" w:rsidP="00B04CE3">
            <w:pPr>
              <w:spacing w:before="0" w:after="0"/>
              <w:ind w:left="0"/>
              <w:jc w:val="left"/>
              <w:textAlignment w:val="bottom"/>
              <w:rPr>
                <w:rFonts w:ascii="Arial" w:hAnsi="Arial" w:cs="Arial"/>
                <w:sz w:val="36"/>
                <w:szCs w:val="36"/>
              </w:rPr>
            </w:pPr>
            <w:r w:rsidRPr="00B04CE3">
              <w:rPr>
                <w:rFonts w:ascii="Arial" w:hAnsi="Arial" w:cs="Arial"/>
                <w:color w:val="000000" w:themeColor="dark1"/>
                <w:kern w:val="24"/>
                <w:sz w:val="20"/>
              </w:rPr>
              <w:t>($20+/MTCO</w:t>
            </w:r>
            <w:r w:rsidRPr="00B04CE3">
              <w:rPr>
                <w:rFonts w:ascii="Arial" w:hAnsi="Arial" w:cs="Arial"/>
                <w:color w:val="000000" w:themeColor="dark1"/>
                <w:kern w:val="24"/>
                <w:position w:val="-5"/>
                <w:sz w:val="20"/>
                <w:vertAlign w:val="subscript"/>
              </w:rPr>
              <w:t>2</w:t>
            </w:r>
            <w:r w:rsidRPr="00B04CE3">
              <w:rPr>
                <w:rFonts w:ascii="Arial" w:hAnsi="Arial" w:cs="Arial"/>
                <w:color w:val="000000" w:themeColor="dark1"/>
                <w:kern w:val="24"/>
                <w:sz w:val="20"/>
              </w:rPr>
              <w:t>)</w:t>
            </w:r>
            <w:r w:rsidRPr="00B04CE3">
              <w:rPr>
                <w:rFonts w:ascii="Arial" w:hAnsi="Arial" w:cs="Arial"/>
                <w:color w:val="000000" w:themeColor="dark1"/>
                <w:kern w:val="24"/>
                <w:position w:val="6"/>
                <w:sz w:val="20"/>
                <w:vertAlign w:val="superscript"/>
              </w:rPr>
              <w:t>a</w:t>
            </w:r>
            <w:r w:rsidRPr="00B04CE3">
              <w:rPr>
                <w:rFonts w:ascii="Arial" w:hAnsi="Arial" w:cs="Arial"/>
                <w:color w:val="000000" w:themeColor="dark1"/>
                <w:kern w:val="24"/>
                <w:sz w:val="20"/>
              </w:rPr>
              <w:t xml:space="preserve"> </w:t>
            </w:r>
          </w:p>
          <w:p w:rsidR="00B04CE3" w:rsidRPr="00B04CE3" w:rsidRDefault="00B04CE3" w:rsidP="00B04CE3">
            <w:pPr>
              <w:spacing w:before="0" w:after="0"/>
              <w:ind w:left="0"/>
              <w:jc w:val="left"/>
              <w:textAlignment w:val="bottom"/>
              <w:rPr>
                <w:rFonts w:ascii="Arial" w:hAnsi="Arial" w:cs="Arial"/>
                <w:sz w:val="36"/>
                <w:szCs w:val="36"/>
              </w:rPr>
            </w:pPr>
            <w:r w:rsidRPr="00B04CE3">
              <w:rPr>
                <w:rFonts w:ascii="Arial" w:hAnsi="Arial" w:cs="Arial"/>
                <w:color w:val="000000" w:themeColor="dark1"/>
                <w:kern w:val="24"/>
                <w:sz w:val="20"/>
              </w:rPr>
              <w:t>Starts in 2020</w:t>
            </w:r>
          </w:p>
        </w:tc>
      </w:tr>
      <w:tr w:rsidR="00B04CE3" w:rsidRPr="00B04CE3" w:rsidTr="00B04CE3">
        <w:trPr>
          <w:trHeight w:val="585"/>
        </w:trPr>
        <w:tc>
          <w:tcPr>
            <w:tcW w:w="960" w:type="dxa"/>
            <w:vMerge w:val="restart"/>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textDirection w:val="btLr"/>
            <w:vAlign w:val="center"/>
            <w:hideMark/>
          </w:tcPr>
          <w:p w:rsidR="00B04CE3" w:rsidRPr="00B04CE3" w:rsidRDefault="00B04CE3" w:rsidP="00B04CE3">
            <w:pPr>
              <w:spacing w:before="0" w:after="0"/>
              <w:ind w:left="0"/>
              <w:jc w:val="center"/>
              <w:textAlignment w:val="center"/>
              <w:rPr>
                <w:rFonts w:ascii="Arial" w:hAnsi="Arial" w:cs="Arial"/>
                <w:sz w:val="36"/>
                <w:szCs w:val="36"/>
              </w:rPr>
            </w:pPr>
            <w:r w:rsidRPr="00B04CE3">
              <w:rPr>
                <w:rFonts w:ascii="Arial" w:hAnsi="Arial" w:cs="Arial"/>
                <w:color w:val="000000" w:themeColor="dark1"/>
                <w:kern w:val="24"/>
                <w:sz w:val="20"/>
              </w:rPr>
              <w:t>Fuel Views</w:t>
            </w:r>
          </w:p>
        </w:tc>
        <w:tc>
          <w:tcPr>
            <w:tcW w:w="13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c>
          <w:tcPr>
            <w:tcW w:w="1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c>
          <w:tcPr>
            <w:tcW w:w="20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r>
      <w:tr w:rsidR="00B04CE3" w:rsidRPr="00B04CE3" w:rsidTr="00B04CE3">
        <w:trPr>
          <w:trHeight w:val="45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B04CE3" w:rsidRPr="00B04CE3" w:rsidRDefault="00B04CE3" w:rsidP="00B04CE3">
            <w:pPr>
              <w:spacing w:before="0" w:after="0"/>
              <w:ind w:left="0"/>
              <w:jc w:val="left"/>
              <w:rPr>
                <w:rFonts w:ascii="Arial" w:hAnsi="Arial" w:cs="Arial"/>
                <w:sz w:val="36"/>
                <w:szCs w:val="36"/>
              </w:rPr>
            </w:pPr>
          </w:p>
        </w:tc>
        <w:tc>
          <w:tcPr>
            <w:tcW w:w="13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c>
          <w:tcPr>
            <w:tcW w:w="1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c>
          <w:tcPr>
            <w:tcW w:w="20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r>
      <w:tr w:rsidR="00B04CE3" w:rsidRPr="00B04CE3" w:rsidTr="00B04CE3">
        <w:trPr>
          <w:trHeight w:val="52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B04CE3" w:rsidRPr="00B04CE3" w:rsidRDefault="00B04CE3" w:rsidP="00B04CE3">
            <w:pPr>
              <w:spacing w:before="0" w:after="0"/>
              <w:ind w:left="0"/>
              <w:jc w:val="left"/>
              <w:rPr>
                <w:rFonts w:ascii="Arial" w:hAnsi="Arial" w:cs="Arial"/>
                <w:sz w:val="36"/>
                <w:szCs w:val="36"/>
              </w:rPr>
            </w:pPr>
          </w:p>
        </w:tc>
        <w:tc>
          <w:tcPr>
            <w:tcW w:w="13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c>
          <w:tcPr>
            <w:tcW w:w="15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c>
          <w:tcPr>
            <w:tcW w:w="20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bottom"/>
            <w:hideMark/>
          </w:tcPr>
          <w:p w:rsidR="00B04CE3" w:rsidRPr="00B04CE3" w:rsidRDefault="00B04CE3" w:rsidP="00B04CE3">
            <w:pPr>
              <w:spacing w:before="0" w:after="0"/>
              <w:ind w:left="0"/>
              <w:jc w:val="left"/>
              <w:rPr>
                <w:rFonts w:ascii="Arial" w:hAnsi="Arial" w:cs="Arial"/>
                <w:sz w:val="36"/>
                <w:szCs w:val="36"/>
              </w:rPr>
            </w:pPr>
          </w:p>
        </w:tc>
      </w:tr>
    </w:tbl>
    <w:p w:rsidR="00426B34" w:rsidRPr="00426B34" w:rsidRDefault="005A317C" w:rsidP="00DB7443">
      <w:pPr>
        <w:jc w:val="center"/>
      </w:pPr>
      <w:bookmarkStart w:id="19" w:name="_GoBack"/>
      <w:bookmarkEnd w:id="19"/>
      <w:r>
        <w:rPr>
          <w:noProof/>
        </w:rPr>
        <w:pict>
          <v:shapetype id="_x0000_t202" coordsize="21600,21600" o:spt="202" path="m,l,21600r21600,l21600,xe">
            <v:stroke joinstyle="miter"/>
            <v:path gradientshapeok="t" o:connecttype="rect"/>
          </v:shapetype>
          <v:shape id="TextBox 4" o:spid="_x0000_s1026" type="#_x0000_t202" style="position:absolute;left:0;text-align:left;margin-left:-.2pt;margin-top:13.85pt;width:283.5pt;height:22.4pt;z-index:251731968;visibility:visibl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" filled="f" stroked="f">
            <v:textbox style="mso-fit-shape-to-text:t">
              <w:txbxContent>
                <w:p w:rsidR="003B2F38" w:rsidRDefault="003B2F38" w:rsidP="003B2F38">
                  <w:pPr>
                    <w:pStyle w:val="NormalWeb"/>
                    <w:spacing w:before="0" w:beforeAutospacing="0" w:after="0" w:afterAutospacing="0"/>
                  </w:pPr>
                  <w:proofErr w:type="gramStart"/>
                  <w:r>
                    <w:rPr>
                      <w:rFonts w:asciiTheme="minorHAnsi" w:hAnsi="Calibri" w:cstheme="minorBidi"/>
                      <w:color w:val="000000" w:themeColor="text1"/>
                      <w:kern w:val="24"/>
                      <w:position w:val="6"/>
                      <w:sz w:val="20"/>
                      <w:szCs w:val="20"/>
                      <w:vertAlign w:val="superscript"/>
                    </w:rPr>
                    <w:t xml:space="preserve">a  </w:t>
                  </w:r>
                  <w:r>
                    <w:rPr>
                      <w:rFonts w:asciiTheme="minorHAnsi" w:hAnsi="Calibri" w:cstheme="minorBidi"/>
                      <w:color w:val="000000" w:themeColor="text1"/>
                      <w:kern w:val="24"/>
                      <w:sz w:val="20"/>
                      <w:szCs w:val="20"/>
                    </w:rPr>
                    <w:t>In</w:t>
                  </w:r>
                  <w:proofErr w:type="gramEnd"/>
                  <w:r>
                    <w:rPr>
                      <w:rFonts w:asciiTheme="minorHAnsi" w:hAnsi="Calibri" w:cstheme="minorBidi"/>
                      <w:color w:val="000000" w:themeColor="text1"/>
                      <w:kern w:val="24"/>
                      <w:sz w:val="20"/>
                      <w:szCs w:val="20"/>
                    </w:rPr>
                    <w:t xml:space="preserve"> </w:t>
                  </w:r>
                  <w:r w:rsidR="00635CDC">
                    <w:rPr>
                      <w:rFonts w:asciiTheme="minorHAnsi" w:hAnsi="Calibri" w:cstheme="minorBidi"/>
                      <w:b/>
                      <w:color w:val="000000" w:themeColor="text1"/>
                      <w:kern w:val="24"/>
                      <w:sz w:val="20"/>
                      <w:szCs w:val="20"/>
                    </w:rPr>
                    <w:t>REDACTED</w:t>
                  </w:r>
                  <w:r>
                    <w:rPr>
                      <w:rFonts w:asciiTheme="minorHAnsi" w:hAnsi="Calibri" w:cstheme="minorBidi"/>
                      <w:color w:val="000000" w:themeColor="text1"/>
                      <w:kern w:val="24"/>
                      <w:sz w:val="20"/>
                      <w:szCs w:val="20"/>
                    </w:rPr>
                    <w:t xml:space="preserve"> dollars</w:t>
                  </w:r>
                  <w:r w:rsidR="008335EA">
                    <w:rPr>
                      <w:rFonts w:asciiTheme="minorHAnsi" w:hAnsi="Calibri" w:cstheme="minorBidi"/>
                      <w:color w:val="000000" w:themeColor="text1"/>
                      <w:kern w:val="24"/>
                      <w:sz w:val="20"/>
                      <w:szCs w:val="20"/>
                    </w:rPr>
                    <w:t>,</w:t>
                  </w:r>
                  <w:r>
                    <w:rPr>
                      <w:rFonts w:asciiTheme="minorHAnsi" w:hAnsi="Calibri" w:cstheme="minorBidi"/>
                      <w:color w:val="000000" w:themeColor="text1"/>
                      <w:kern w:val="24"/>
                      <w:sz w:val="20"/>
                      <w:szCs w:val="20"/>
                    </w:rPr>
                    <w:t xml:space="preserve"> rising at </w:t>
                  </w:r>
                  <w:r w:rsidR="00635CDC">
                    <w:rPr>
                      <w:rFonts w:asciiTheme="minorHAnsi" w:hAnsi="Calibri" w:cstheme="minorBidi"/>
                      <w:b/>
                      <w:color w:val="000000" w:themeColor="text1"/>
                      <w:kern w:val="24"/>
                      <w:sz w:val="20"/>
                      <w:szCs w:val="20"/>
                    </w:rPr>
                    <w:t>REDACTED</w:t>
                  </w:r>
                  <w:r>
                    <w:rPr>
                      <w:rFonts w:asciiTheme="minorHAnsi" w:hAnsi="Calibri" w:cstheme="minorBidi"/>
                      <w:color w:val="000000" w:themeColor="text1"/>
                      <w:kern w:val="24"/>
                      <w:sz w:val="20"/>
                      <w:szCs w:val="20"/>
                    </w:rPr>
                    <w:t xml:space="preserve">% above inflation </w:t>
                  </w:r>
                </w:p>
              </w:txbxContent>
            </v:textbox>
          </v:shape>
        </w:pict>
      </w:r>
    </w:p>
    <w:p w:rsidR="009746F2" w:rsidRDefault="009746F2" w:rsidP="00A42834">
      <w:pPr>
        <w:pStyle w:val="Heading1"/>
        <w:numPr>
          <w:ilvl w:val="0"/>
          <w:numId w:val="2"/>
        </w:numPr>
        <w:sectPr w:rsidR="009746F2" w:rsidSect="00D75806">
          <w:headerReference w:type="default" r:id="rId18"/>
          <w:footerReference w:type="default" r:id="rId19"/>
          <w:headerReference w:type="first" r:id="rId20"/>
          <w:pgSz w:w="12242" w:h="15842" w:code="1"/>
          <w:pgMar w:top="1440" w:right="1440" w:bottom="1440" w:left="1440" w:header="576" w:footer="432" w:gutter="1080"/>
          <w:paperSrc w:first="15" w:other="15"/>
          <w:pgNumType w:start="1"/>
          <w:cols w:space="720"/>
          <w:docGrid w:linePitch="360"/>
        </w:sectPr>
      </w:pPr>
      <w:bookmarkStart w:id="20" w:name="_Toc340606123"/>
    </w:p>
    <w:bookmarkEnd w:id="20"/>
    <w:p w:rsidR="00053E4E" w:rsidRDefault="00635CDC" w:rsidP="00635CDC">
      <w:pPr>
        <w:pStyle w:val="Heading1"/>
        <w:ind w:left="12" w:firstLine="0"/>
      </w:pPr>
      <w:r>
        <w:t>REMAINDER OF REPORT REDACTED IN ITS ENTIRETY</w:t>
      </w:r>
    </w:p>
    <w:sectPr w:rsidR="00053E4E" w:rsidSect="009746F2">
      <w:headerReference w:type="default" r:id="rId21"/>
      <w:type w:val="continuous"/>
      <w:pgSz w:w="12242" w:h="15842" w:code="1"/>
      <w:pgMar w:top="1440" w:right="1440" w:bottom="1440" w:left="1440" w:header="576" w:footer="432" w:gutter="1080"/>
      <w:paperSrc w:first="15" w:other="15"/>
      <w:pgNumType w:start="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2FB" w:rsidRDefault="008C32FB">
      <w:r>
        <w:separator/>
      </w:r>
    </w:p>
  </w:endnote>
  <w:endnote w:type="continuationSeparator" w:id="0">
    <w:p w:rsidR="008C32FB" w:rsidRDefault="008C32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Cambria"/>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Default="005A317C">
    <w:pPr>
      <w:pStyle w:val="Footer"/>
      <w:framePr w:wrap="around" w:vAnchor="text" w:hAnchor="margin" w:xAlign="right" w:y="1"/>
    </w:pPr>
    <w:r>
      <w:fldChar w:fldCharType="begin"/>
    </w:r>
    <w:r w:rsidR="00BD0E0C">
      <w:instrText xml:space="preserve">PAGE  </w:instrText>
    </w:r>
    <w:r>
      <w:fldChar w:fldCharType="separate"/>
    </w:r>
    <w:r w:rsidR="00BD0E0C">
      <w:t>3</w:t>
    </w:r>
    <w:r>
      <w:fldChar w:fldCharType="end"/>
    </w:r>
  </w:p>
  <w:p w:rsidR="00BD0E0C" w:rsidRDefault="00BD0E0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Default="00BD0E0C">
    <w:pPr>
      <w:pStyle w:val="Footer"/>
      <w:pBdr>
        <w:top w:val="none" w:sz="0" w:space="0" w:color="auto"/>
      </w:pBd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Default="00BD0E0C">
    <w:pPr>
      <w:pStyle w:val="Footer"/>
      <w:pBdr>
        <w:top w:val="none" w:sz="0" w:space="0" w:color="auto"/>
      </w:pBdr>
      <w:tabs>
        <w:tab w:val="center" w:pos="4320"/>
        <w:tab w:val="right" w:pos="8190"/>
      </w:tabs>
      <w:ind w:left="1134" w:right="-764"/>
      <w:jc w:val="center"/>
      <w:rPr>
        <w: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Pr="00413023" w:rsidRDefault="00BD0E0C" w:rsidP="00394A44">
    <w:pPr>
      <w:pStyle w:val="Footer"/>
    </w:pPr>
    <w:r w:rsidRPr="00413023">
      <w:tab/>
    </w:r>
    <w:r>
      <w:tab/>
    </w:r>
    <w:r w:rsidRPr="00413023">
      <w:t xml:space="preserve">Page </w:t>
    </w:r>
    <w:r w:rsidR="005A317C">
      <w:fldChar w:fldCharType="begin"/>
    </w:r>
    <w:r>
      <w:instrText xml:space="preserve"> PAGE </w:instrText>
    </w:r>
    <w:r w:rsidR="005A317C">
      <w:fldChar w:fldCharType="separate"/>
    </w:r>
    <w:r w:rsidR="00C6328F">
      <w:rPr>
        <w:noProof/>
      </w:rPr>
      <w:t>vi</w:t>
    </w:r>
    <w:r w:rsidR="005A317C">
      <w:rPr>
        <w:noProof/>
      </w:rPr>
      <w:fldChar w:fldCharType="end"/>
    </w:r>
  </w:p>
  <w:p w:rsidR="00BD0E0C" w:rsidRDefault="00BD0E0C">
    <w:pPr>
      <w:pStyle w:val="Footer"/>
      <w:pBdr>
        <w:top w:val="none" w:sz="0" w:space="0" w:color="auto"/>
      </w:pBd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Default="005A317C">
    <w:pPr>
      <w:pStyle w:val="Footer"/>
      <w:pBdr>
        <w:top w:val="single" w:sz="6" w:space="1" w:color="568A9E"/>
      </w:pBdr>
    </w:pPr>
    <w:r>
      <w:rPr>
        <w:noProof/>
      </w:rPr>
      <w:pict>
        <v:shapetype id="_x0000_t202" coordsize="21600,21600" o:spt="202" path="m,l,21600r21600,l21600,xe">
          <v:stroke joinstyle="miter"/>
          <v:path gradientshapeok="t" o:connecttype="rect"/>
        </v:shapetype>
        <v:shape id="Text Box 1" o:spid="_x0000_s4097" type="#_x0000_t202" style="position:absolute;left:0;text-align:left;margin-left:-48.7pt;margin-top:5.5pt;width:47.65pt;height:35.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" filled="f" stroked="f">
          <v:textbox>
            <w:txbxContent>
              <w:p w:rsidR="00BD0E0C" w:rsidRDefault="00BD0E0C">
                <w:pPr>
                  <w:spacing w:before="0" w:after="0"/>
                  <w:jc w:val="right"/>
                </w:pPr>
                <w:r>
                  <w:rPr>
                    <w:noProof/>
                  </w:rPr>
                  <w:drawing>
                    <wp:inline distT="0" distB="0" distL="0" distR="0">
                      <wp:extent cx="318135" cy="349885"/>
                      <wp:effectExtent l="0" t="0" r="5715"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8135" cy="349885"/>
                              </a:xfrm>
                              <a:prstGeom prst="rect">
                                <a:avLst/>
                              </a:prstGeom>
                              <a:noFill/>
                              <a:ln>
                                <a:noFill/>
                              </a:ln>
                            </pic:spPr>
                          </pic:pic>
                        </a:graphicData>
                      </a:graphic>
                    </wp:inline>
                  </w:drawing>
                </w:r>
              </w:p>
            </w:txbxContent>
          </v:textbox>
        </v:shape>
      </w:pict>
    </w:r>
    <w:r w:rsidR="00BD0E0C">
      <w:tab/>
    </w:r>
    <w:fldSimple w:instr=" DOCPROPERTY &quot;Status&quot;  \* MERGEFORMAT ">
      <w:r w:rsidR="002C6968">
        <w:t>Draft Report</w:t>
      </w:r>
    </w:fldSimple>
    <w:r w:rsidR="00BD0E0C">
      <w:tab/>
      <w:t xml:space="preserve">Page </w:t>
    </w:r>
    <w:r>
      <w:fldChar w:fldCharType="begin"/>
    </w:r>
    <w:r w:rsidR="00BD0E0C">
      <w:instrText xml:space="preserve"> PAGE </w:instrText>
    </w:r>
    <w:r>
      <w:fldChar w:fldCharType="separate"/>
    </w:r>
    <w:r w:rsidR="00BD0E0C">
      <w:rPr>
        <w:noProof/>
      </w:rPr>
      <w:t>i</w:t>
    </w:r>
    <w:r>
      <w:rPr>
        <w:noProof/>
      </w:rPr>
      <w:fldChar w:fldCharType="end"/>
    </w:r>
  </w:p>
  <w:p w:rsidR="00BD0E0C" w:rsidRDefault="00BD0E0C">
    <w:pPr>
      <w:pStyle w:val="Footer"/>
      <w:pBdr>
        <w:top w:val="none" w:sz="0" w:space="0" w:color="auto"/>
      </w:pBd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Default="00BD0E0C" w:rsidP="00782D2C">
    <w:pPr>
      <w:pStyle w:val="Footer"/>
    </w:pPr>
    <w:r>
      <w:tab/>
    </w:r>
    <w:r>
      <w:tab/>
      <w:t xml:space="preserve">Page </w:t>
    </w:r>
    <w:r w:rsidR="005A317C">
      <w:rPr>
        <w:rStyle w:val="PageNumber"/>
      </w:rPr>
      <w:fldChar w:fldCharType="begin"/>
    </w:r>
    <w:r>
      <w:rPr>
        <w:rStyle w:val="PageNumber"/>
      </w:rPr>
      <w:instrText xml:space="preserve"> PAGE </w:instrText>
    </w:r>
    <w:r w:rsidR="005A317C">
      <w:rPr>
        <w:rStyle w:val="PageNumber"/>
      </w:rPr>
      <w:fldChar w:fldCharType="separate"/>
    </w:r>
    <w:r w:rsidR="00C6328F">
      <w:rPr>
        <w:rStyle w:val="PageNumber"/>
        <w:noProof/>
      </w:rPr>
      <w:t>7</w:t>
    </w:r>
    <w:r w:rsidR="005A317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2FB" w:rsidRDefault="008C32FB">
      <w:r>
        <w:separator/>
      </w:r>
    </w:p>
  </w:footnote>
  <w:footnote w:type="continuationSeparator" w:id="0">
    <w:p w:rsidR="008C32FB" w:rsidRDefault="008C32FB">
      <w:r>
        <w:continuationSeparator/>
      </w:r>
    </w:p>
  </w:footnote>
  <w:footnote w:id="1">
    <w:p w:rsidR="00BD0E0C" w:rsidRPr="009A3B9F" w:rsidRDefault="00BD0E0C">
      <w:pPr>
        <w:pStyle w:val="FootnoteText"/>
      </w:pPr>
      <w:r w:rsidRPr="00EE0E80">
        <w:rPr>
          <w:rStyle w:val="FootnoteReference"/>
        </w:rPr>
        <w:footnoteRef/>
      </w:r>
      <w:r w:rsidRPr="00EE0E80">
        <w:t xml:space="preserve">   The exception for new coal units with CCS is the Kemper County </w:t>
      </w:r>
      <w:r w:rsidRPr="00EE0E80">
        <w:rPr>
          <w:rStyle w:val="ft"/>
          <w:rFonts w:cs="Arial"/>
          <w:bCs/>
          <w:color w:val="000000"/>
        </w:rPr>
        <w:t>Plant Ratcliffe</w:t>
      </w:r>
      <w:r w:rsidRPr="00EE0E80">
        <w:t xml:space="preserve"> IGCC plant in Mississippi.  Exceptions for new nuclear are Vogtle 3 and 4 in Georgia and Watts Bar 2 in Tennessee.</w:t>
      </w:r>
    </w:p>
  </w:footnote>
  <w:footnote w:id="2">
    <w:p w:rsidR="00BD0E0C" w:rsidRDefault="00BD0E0C">
      <w:pPr>
        <w:pStyle w:val="FootnoteText"/>
      </w:pPr>
      <w:r>
        <w:rPr>
          <w:rStyle w:val="FootnoteReference"/>
        </w:rPr>
        <w:footnoteRef/>
      </w:r>
      <w:r>
        <w:t xml:space="preserve"> </w:t>
      </w:r>
      <w:r w:rsidR="008335EA">
        <w:tab/>
      </w:r>
      <w:r w:rsidRPr="008877AD">
        <w:t>In June 2012, the U.S. Court of Appeals for the District of Columbia unanimously rejected four challenges to EPA GHG rules.  The Court did the following:  1) upheld the “endangerment finding,” 2) upheld the “tailpipe rule” (regulating GHG emissions from light duty motor vehicles), 3) confirmed that the tailpipe rule implies that GHGs are regulated under Prevention of Significant Deterioration (PSD) and Title V permitting, and 4) concluded that the challenges to EPA’s Timing Rule and Tailoring Rule were not justified.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28F" w:rsidRDefault="00C632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0A7C" w:rsidRPr="00635CDC" w:rsidRDefault="00690A7C" w:rsidP="00690A7C">
    <w:pPr>
      <w:pStyle w:val="Header"/>
      <w:ind w:left="0"/>
      <w:jc w:val="left"/>
      <w:rPr>
        <w:b/>
        <w:sz w:val="28"/>
        <w:szCs w:val="28"/>
      </w:rPr>
    </w:pPr>
    <w:r>
      <w:tab/>
    </w:r>
    <w:r w:rsidR="00635CDC" w:rsidRPr="00635CDC">
      <w:rPr>
        <w:b/>
        <w:sz w:val="28"/>
        <w:szCs w:val="28"/>
      </w:rPr>
      <w:t>PUBLIC DISCLOSURE</w:t>
    </w:r>
  </w:p>
  <w:p w:rsidR="00690A7C" w:rsidRDefault="00690A7C" w:rsidP="00690A7C">
    <w:pPr>
      <w:pStyle w:val="Header"/>
      <w:tabs>
        <w:tab w:val="clear" w:pos="7938"/>
        <w:tab w:val="clear" w:pos="13860"/>
        <w:tab w:val="left" w:pos="6713"/>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Pr="00635CDC" w:rsidRDefault="00690A7C" w:rsidP="003E19AA">
    <w:pPr>
      <w:pStyle w:val="Header"/>
      <w:ind w:left="0"/>
      <w:jc w:val="left"/>
      <w:rPr>
        <w:b/>
        <w:sz w:val="28"/>
        <w:szCs w:val="28"/>
      </w:rPr>
    </w:pPr>
    <w:r>
      <w:rPr>
        <w:sz w:val="28"/>
        <w:szCs w:val="28"/>
      </w:rPr>
      <w:tab/>
    </w:r>
    <w:r w:rsidR="00635CDC" w:rsidRPr="00635CDC">
      <w:rPr>
        <w:b/>
        <w:sz w:val="28"/>
        <w:szCs w:val="28"/>
      </w:rPr>
      <w:t>PUBLIC DISCLOSURE</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Pr="00FE7FEA" w:rsidRDefault="00BD0E0C">
    <w:pPr>
      <w:pStyle w:val="Header"/>
      <w:tabs>
        <w:tab w:val="clear" w:pos="7938"/>
      </w:tabs>
    </w:pPr>
    <w:r>
      <w:t>Scenario Fuel Forecast Documentation – B2013</w:t>
    </w:r>
    <w:r w:rsidR="00690A7C">
      <w:t xml:space="preserve">                                              </w:t>
    </w:r>
    <w:r w:rsidR="00635CDC" w:rsidRPr="00635CDC">
      <w:rPr>
        <w:b/>
      </w:rPr>
      <w:t>PUBLIC DISCLOSURE</w:t>
    </w:r>
    <w:r w:rsidR="00690A7C">
      <w:tab/>
    </w:r>
  </w:p>
  <w:p w:rsidR="00BD0E0C" w:rsidRDefault="00B71E44">
    <w:pPr>
      <w:pStyle w:val="Header"/>
      <w:pBdr>
        <w:bottom w:val="single" w:sz="6" w:space="1" w:color="808080"/>
      </w:pBdr>
      <w:tabs>
        <w:tab w:val="clear" w:pos="7938"/>
        <w:tab w:val="right" w:pos="8222"/>
      </w:tabs>
    </w:pPr>
    <w:r>
      <w:rPr>
        <w:color w:val="FF0000"/>
      </w:rPr>
      <w:t>Confidential</w:t>
    </w:r>
    <w:r w:rsidRPr="00B71E44">
      <w:t xml:space="preserve"> - </w:t>
    </w:r>
    <w:r w:rsidR="00BD0E0C" w:rsidRPr="00744916">
      <w:t>November 2012</w:t>
    </w:r>
    <w:r w:rsidR="00BD0E0C">
      <w:tab/>
      <w:t>Charles River Associates</w:t>
    </w:r>
  </w:p>
  <w:p w:rsidR="00BD0E0C" w:rsidRDefault="00BD0E0C">
    <w:pPr>
      <w:pStyle w:val="Header"/>
    </w:pPr>
  </w:p>
  <w:p w:rsidR="00BD0E0C" w:rsidRDefault="00BD0E0C">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Default="005A317C">
    <w:pPr>
      <w:pStyle w:val="Header"/>
    </w:pPr>
    <w:fldSimple w:instr=" DOCPROPERTY &quot;Project&quot;  \* MERGEFORMAT ">
      <w:r w:rsidR="002C6968">
        <w:t>Scenario Fuel Forecast Documentation - 2010</w:t>
      </w:r>
    </w:fldSimple>
    <w:r w:rsidR="00BD0E0C">
      <w:tab/>
      <w:t>Charles</w:t>
    </w:r>
  </w:p>
  <w:p w:rsidR="00BD0E0C" w:rsidRDefault="00BD0E0C">
    <w:pPr>
      <w:pStyle w:val="Header"/>
    </w:pPr>
    <w:r>
      <w:tab/>
      <w:t>River</w:t>
    </w:r>
  </w:p>
  <w:p w:rsidR="00BD0E0C" w:rsidRDefault="005A317C">
    <w:pPr>
      <w:pStyle w:val="Header"/>
    </w:pPr>
    <w:fldSimple w:instr=" DOCPROPERTY &quot;Date&quot;  \* MERGEFORMAT ">
      <w:r w:rsidR="002C6968">
        <w:t>October 2010</w:t>
      </w:r>
    </w:fldSimple>
    <w:r w:rsidR="00BD0E0C">
      <w:tab/>
      <w:t>Associates</w:t>
    </w:r>
  </w:p>
  <w:p w:rsidR="00BD0E0C" w:rsidRDefault="00BD0E0C">
    <w:pPr>
      <w:pStyle w:val="Header"/>
      <w:pBdr>
        <w:top w:val="single" w:sz="6" w:space="1" w:color="568A9E"/>
      </w:pBdr>
    </w:pPr>
  </w:p>
  <w:p w:rsidR="00BD0E0C" w:rsidRDefault="00BD0E0C">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Pr="00FE7FEA" w:rsidRDefault="00BD0E0C">
    <w:pPr>
      <w:pStyle w:val="Header"/>
      <w:tabs>
        <w:tab w:val="clear" w:pos="7938"/>
      </w:tabs>
    </w:pPr>
    <w:r>
      <w:t>Scenario Fuel Forecast Documentation – B2013</w:t>
    </w:r>
    <w:r w:rsidR="003C21CD">
      <w:t xml:space="preserve">                   </w:t>
    </w:r>
    <w:r w:rsidR="005227E0">
      <w:t xml:space="preserve">                         </w:t>
    </w:r>
    <w:r w:rsidR="00635CDC" w:rsidRPr="00635CDC">
      <w:rPr>
        <w:b/>
      </w:rPr>
      <w:t>PUBLIC DISCLOSURE</w:t>
    </w:r>
  </w:p>
  <w:p w:rsidR="00BD0E0C" w:rsidRDefault="00BD0E0C">
    <w:pPr>
      <w:pStyle w:val="Header"/>
      <w:pBdr>
        <w:bottom w:val="single" w:sz="6" w:space="1" w:color="808080"/>
      </w:pBdr>
      <w:tabs>
        <w:tab w:val="clear" w:pos="7938"/>
        <w:tab w:val="right" w:pos="8222"/>
      </w:tabs>
    </w:pPr>
    <w:r w:rsidRPr="00A418EC">
      <w:rPr>
        <w:color w:val="FF0000"/>
      </w:rPr>
      <w:t>Confidential</w:t>
    </w:r>
    <w:r w:rsidR="00B71E44" w:rsidRPr="00B71E44">
      <w:t xml:space="preserve"> - </w:t>
    </w:r>
    <w:r w:rsidR="00B71E44">
      <w:t xml:space="preserve">November </w:t>
    </w:r>
    <w:r>
      <w:t>2012</w:t>
    </w:r>
    <w:r>
      <w:tab/>
      <w:t>Charles River Associates</w:t>
    </w:r>
  </w:p>
  <w:p w:rsidR="00BD0E0C" w:rsidRDefault="00BD0E0C">
    <w:pPr>
      <w:pStyle w:val="Header"/>
    </w:pPr>
  </w:p>
  <w:p w:rsidR="00BD0E0C" w:rsidRDefault="00BD0E0C">
    <w:pPr>
      <w:pStyle w:val="Header"/>
    </w:pPr>
  </w:p>
  <w:p w:rsidR="00BD0E0C" w:rsidRDefault="00BD0E0C">
    <w:pPr>
      <w:pStyle w:val="Header"/>
      <w:ind w:left="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E0C" w:rsidRDefault="005A317C">
    <w:pPr>
      <w:pStyle w:val="Header"/>
    </w:pPr>
    <w:fldSimple w:instr=" DOCPROPERTY &quot;Project&quot;  \* MERGEFORMAT ">
      <w:r w:rsidR="002C6968">
        <w:t>Scenario Fuel Forecast Documentation - 2010</w:t>
      </w:r>
    </w:fldSimple>
    <w:r w:rsidR="00BD0E0C">
      <w:tab/>
      <w:t>Charles</w:t>
    </w:r>
  </w:p>
  <w:p w:rsidR="00BD0E0C" w:rsidRDefault="00BD0E0C">
    <w:pPr>
      <w:pStyle w:val="Header"/>
    </w:pPr>
    <w:r>
      <w:tab/>
      <w:t>River</w:t>
    </w:r>
  </w:p>
  <w:p w:rsidR="00BD0E0C" w:rsidRDefault="005A317C">
    <w:pPr>
      <w:pStyle w:val="Header"/>
    </w:pPr>
    <w:fldSimple w:instr=" DOCPROPERTY &quot;Date&quot;  \* MERGEFORMAT ">
      <w:r w:rsidR="002C6968">
        <w:t>October 2010</w:t>
      </w:r>
    </w:fldSimple>
    <w:r w:rsidR="00BD0E0C">
      <w:tab/>
      <w:t>Associates</w:t>
    </w:r>
  </w:p>
  <w:p w:rsidR="00BD0E0C" w:rsidRDefault="00BD0E0C">
    <w:pPr>
      <w:pStyle w:val="Header"/>
      <w:pBdr>
        <w:top w:val="single" w:sz="6" w:space="1" w:color="568A9E"/>
      </w:pBdr>
    </w:pPr>
  </w:p>
  <w:p w:rsidR="00BD0E0C" w:rsidRDefault="00BD0E0C">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6F2" w:rsidRPr="00635CDC" w:rsidRDefault="009746F2">
    <w:pPr>
      <w:pStyle w:val="Header"/>
      <w:tabs>
        <w:tab w:val="clear" w:pos="7938"/>
      </w:tabs>
      <w:rPr>
        <w:b/>
      </w:rPr>
    </w:pPr>
    <w:r>
      <w:t xml:space="preserve">Scenario Fuel Forecast Documentation – B2013                              </w:t>
    </w:r>
    <w:r w:rsidR="00635CDC">
      <w:t xml:space="preserve">              </w:t>
    </w:r>
    <w:r w:rsidR="00635CDC">
      <w:rPr>
        <w:b/>
      </w:rPr>
      <w:t>PUBLIC DISCLOSURE</w:t>
    </w:r>
  </w:p>
  <w:p w:rsidR="009746F2" w:rsidRDefault="009746F2">
    <w:pPr>
      <w:pStyle w:val="Header"/>
      <w:pBdr>
        <w:bottom w:val="single" w:sz="6" w:space="1" w:color="808080"/>
      </w:pBdr>
      <w:tabs>
        <w:tab w:val="clear" w:pos="7938"/>
        <w:tab w:val="right" w:pos="8222"/>
      </w:tabs>
    </w:pPr>
    <w:r w:rsidRPr="00A418EC">
      <w:rPr>
        <w:color w:val="FF0000"/>
      </w:rPr>
      <w:t>Confidential</w:t>
    </w:r>
    <w:r w:rsidRPr="00B71E44">
      <w:t xml:space="preserve"> - </w:t>
    </w:r>
    <w:r>
      <w:t>November 2012</w:t>
    </w:r>
    <w:r>
      <w:tab/>
      <w:t>Charles River Associates</w:t>
    </w:r>
  </w:p>
  <w:p w:rsidR="009746F2" w:rsidRDefault="009746F2">
    <w:pPr>
      <w:pStyle w:val="Header"/>
    </w:pPr>
  </w:p>
  <w:p w:rsidR="009746F2" w:rsidRDefault="009746F2">
    <w:pPr>
      <w:pStyle w:val="Header"/>
    </w:pPr>
  </w:p>
  <w:p w:rsidR="009746F2" w:rsidRDefault="009746F2">
    <w:pPr>
      <w:pStyle w:val="Header"/>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9F866A60"/>
    <w:lvl w:ilvl="0">
      <w:start w:val="1"/>
      <w:numFmt w:val="decimal"/>
      <w:lvlText w:val="%1."/>
      <w:legacy w:legacy="1" w:legacySpace="0" w:legacyIndent="708"/>
      <w:lvlJc w:val="left"/>
      <w:pPr>
        <w:ind w:left="720" w:hanging="708"/>
      </w:pPr>
      <w:rPr>
        <w:rFonts w:cs="Times New Roman"/>
      </w:rPr>
    </w:lvl>
    <w:lvl w:ilvl="1">
      <w:start w:val="1"/>
      <w:numFmt w:val="decimal"/>
      <w:lvlText w:val="%1.%2."/>
      <w:legacy w:legacy="1" w:legacySpace="0" w:legacyIndent="708"/>
      <w:lvlJc w:val="left"/>
      <w:pPr>
        <w:ind w:left="720" w:hanging="708"/>
      </w:pPr>
      <w:rPr>
        <w:rFonts w:cs="Times New Roman"/>
      </w:rPr>
    </w:lvl>
    <w:lvl w:ilvl="2">
      <w:start w:val="1"/>
      <w:numFmt w:val="decimal"/>
      <w:lvlText w:val="%1.%2.%3."/>
      <w:legacy w:legacy="1" w:legacySpace="0" w:legacyIndent="708"/>
      <w:lvlJc w:val="left"/>
      <w:pPr>
        <w:ind w:left="708" w:hanging="708"/>
      </w:pPr>
      <w:rPr>
        <w:rFonts w:cs="Times New Roman"/>
      </w:rPr>
    </w:lvl>
    <w:lvl w:ilvl="3">
      <w:start w:val="1"/>
      <w:numFmt w:val="none"/>
      <w:suff w:val="nothing"/>
      <w:lvlText w:val=""/>
      <w:lvlJc w:val="left"/>
      <w:pPr>
        <w:ind w:left="1440" w:hanging="708"/>
      </w:pPr>
      <w:rPr>
        <w:rFonts w:cs="Times New Roman"/>
      </w:rPr>
    </w:lvl>
    <w:lvl w:ilvl="4">
      <w:start w:val="1"/>
      <w:numFmt w:val="decimal"/>
      <w:lvlText w:val="%5."/>
      <w:legacy w:legacy="1" w:legacySpace="0" w:legacyIndent="708"/>
      <w:lvlJc w:val="left"/>
      <w:pPr>
        <w:ind w:left="3540" w:hanging="708"/>
      </w:pPr>
      <w:rPr>
        <w:rFonts w:cs="Times New Roman"/>
      </w:rPr>
    </w:lvl>
    <w:lvl w:ilvl="5">
      <w:start w:val="1"/>
      <w:numFmt w:val="decimal"/>
      <w:lvlText w:val="%5.%6."/>
      <w:legacy w:legacy="1" w:legacySpace="0" w:legacyIndent="708"/>
      <w:lvlJc w:val="left"/>
      <w:pPr>
        <w:ind w:left="4248" w:hanging="708"/>
      </w:pPr>
      <w:rPr>
        <w:rFonts w:cs="Times New Roman"/>
      </w:rPr>
    </w:lvl>
    <w:lvl w:ilvl="6">
      <w:start w:val="1"/>
      <w:numFmt w:val="decimal"/>
      <w:lvlText w:val="%5.%6.%7."/>
      <w:legacy w:legacy="1" w:legacySpace="0" w:legacyIndent="708"/>
      <w:lvlJc w:val="left"/>
      <w:pPr>
        <w:ind w:left="4956" w:hanging="708"/>
      </w:pPr>
      <w:rPr>
        <w:rFonts w:cs="Times New Roman"/>
      </w:rPr>
    </w:lvl>
    <w:lvl w:ilvl="7">
      <w:start w:val="1"/>
      <w:numFmt w:val="decimal"/>
      <w:lvlText w:val="%5.%6.%7.%8."/>
      <w:legacy w:legacy="1" w:legacySpace="0" w:legacyIndent="708"/>
      <w:lvlJc w:val="left"/>
      <w:pPr>
        <w:ind w:left="5664" w:hanging="708"/>
      </w:pPr>
      <w:rPr>
        <w:rFonts w:cs="Times New Roman"/>
      </w:rPr>
    </w:lvl>
    <w:lvl w:ilvl="8">
      <w:start w:val="1"/>
      <w:numFmt w:val="decimal"/>
      <w:lvlText w:val="%5.%6.%7.%8.%9."/>
      <w:legacy w:legacy="1" w:legacySpace="0" w:legacyIndent="708"/>
      <w:lvlJc w:val="left"/>
      <w:pPr>
        <w:ind w:left="6372" w:hanging="708"/>
      </w:pPr>
      <w:rPr>
        <w:rFonts w:cs="Times New Roman"/>
      </w:rPr>
    </w:lvl>
  </w:abstractNum>
  <w:abstractNum w:abstractNumId="1">
    <w:nsid w:val="02BC1643"/>
    <w:multiLevelType w:val="multilevel"/>
    <w:tmpl w:val="9F866A60"/>
    <w:lvl w:ilvl="0">
      <w:start w:val="1"/>
      <w:numFmt w:val="decimal"/>
      <w:lvlText w:val="%1."/>
      <w:legacy w:legacy="1" w:legacySpace="0" w:legacyIndent="708"/>
      <w:lvlJc w:val="left"/>
      <w:pPr>
        <w:ind w:left="720" w:hanging="708"/>
      </w:pPr>
      <w:rPr>
        <w:rFonts w:cs="Times New Roman"/>
      </w:rPr>
    </w:lvl>
    <w:lvl w:ilvl="1">
      <w:start w:val="1"/>
      <w:numFmt w:val="decimal"/>
      <w:lvlText w:val="%1.%2."/>
      <w:legacy w:legacy="1" w:legacySpace="0" w:legacyIndent="708"/>
      <w:lvlJc w:val="left"/>
      <w:pPr>
        <w:ind w:left="720" w:hanging="708"/>
      </w:pPr>
      <w:rPr>
        <w:rFonts w:cs="Times New Roman"/>
      </w:rPr>
    </w:lvl>
    <w:lvl w:ilvl="2">
      <w:start w:val="1"/>
      <w:numFmt w:val="decimal"/>
      <w:lvlText w:val="%1.%2.%3."/>
      <w:legacy w:legacy="1" w:legacySpace="0" w:legacyIndent="708"/>
      <w:lvlJc w:val="left"/>
      <w:pPr>
        <w:ind w:left="708" w:hanging="708"/>
      </w:pPr>
      <w:rPr>
        <w:rFonts w:cs="Times New Roman"/>
      </w:rPr>
    </w:lvl>
    <w:lvl w:ilvl="3">
      <w:start w:val="1"/>
      <w:numFmt w:val="none"/>
      <w:suff w:val="nothing"/>
      <w:lvlText w:val=""/>
      <w:lvlJc w:val="left"/>
      <w:pPr>
        <w:ind w:left="1440" w:hanging="708"/>
      </w:pPr>
      <w:rPr>
        <w:rFonts w:cs="Times New Roman"/>
      </w:rPr>
    </w:lvl>
    <w:lvl w:ilvl="4">
      <w:start w:val="1"/>
      <w:numFmt w:val="decimal"/>
      <w:lvlText w:val="%5."/>
      <w:legacy w:legacy="1" w:legacySpace="0" w:legacyIndent="708"/>
      <w:lvlJc w:val="left"/>
      <w:pPr>
        <w:ind w:left="3540" w:hanging="708"/>
      </w:pPr>
      <w:rPr>
        <w:rFonts w:cs="Times New Roman"/>
      </w:rPr>
    </w:lvl>
    <w:lvl w:ilvl="5">
      <w:start w:val="1"/>
      <w:numFmt w:val="decimal"/>
      <w:lvlText w:val="%5.%6."/>
      <w:legacy w:legacy="1" w:legacySpace="0" w:legacyIndent="708"/>
      <w:lvlJc w:val="left"/>
      <w:pPr>
        <w:ind w:left="4248" w:hanging="708"/>
      </w:pPr>
      <w:rPr>
        <w:rFonts w:cs="Times New Roman"/>
      </w:rPr>
    </w:lvl>
    <w:lvl w:ilvl="6">
      <w:start w:val="1"/>
      <w:numFmt w:val="decimal"/>
      <w:lvlText w:val="%5.%6.%7."/>
      <w:legacy w:legacy="1" w:legacySpace="0" w:legacyIndent="708"/>
      <w:lvlJc w:val="left"/>
      <w:pPr>
        <w:ind w:left="4956" w:hanging="708"/>
      </w:pPr>
      <w:rPr>
        <w:rFonts w:cs="Times New Roman"/>
      </w:rPr>
    </w:lvl>
    <w:lvl w:ilvl="7">
      <w:start w:val="1"/>
      <w:numFmt w:val="decimal"/>
      <w:lvlText w:val="%5.%6.%7.%8."/>
      <w:legacy w:legacy="1" w:legacySpace="0" w:legacyIndent="708"/>
      <w:lvlJc w:val="left"/>
      <w:pPr>
        <w:ind w:left="5664" w:hanging="708"/>
      </w:pPr>
      <w:rPr>
        <w:rFonts w:cs="Times New Roman"/>
      </w:rPr>
    </w:lvl>
    <w:lvl w:ilvl="8">
      <w:start w:val="1"/>
      <w:numFmt w:val="decimal"/>
      <w:lvlText w:val="%5.%6.%7.%8.%9."/>
      <w:legacy w:legacy="1" w:legacySpace="0" w:legacyIndent="708"/>
      <w:lvlJc w:val="left"/>
      <w:pPr>
        <w:ind w:left="6372" w:hanging="708"/>
      </w:pPr>
      <w:rPr>
        <w:rFonts w:cs="Times New Roman"/>
      </w:rPr>
    </w:lvl>
  </w:abstractNum>
  <w:abstractNum w:abstractNumId="2">
    <w:nsid w:val="0BF0166E"/>
    <w:multiLevelType w:val="hybridMultilevel"/>
    <w:tmpl w:val="395A9B3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14650E5"/>
    <w:multiLevelType w:val="hybridMultilevel"/>
    <w:tmpl w:val="49442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8C0511"/>
    <w:multiLevelType w:val="hybridMultilevel"/>
    <w:tmpl w:val="175E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06734E"/>
    <w:multiLevelType w:val="hybridMultilevel"/>
    <w:tmpl w:val="75DE57DE"/>
    <w:lvl w:ilvl="0" w:tplc="5B44DC76">
      <w:start w:val="1"/>
      <w:numFmt w:val="bullet"/>
      <w:pStyle w:val="ListBullet2"/>
      <w:lvlText w:val="-"/>
      <w:lvlJc w:val="left"/>
      <w:pPr>
        <w:tabs>
          <w:tab w:val="num" w:pos="360"/>
        </w:tabs>
        <w:ind w:left="360" w:hanging="360"/>
      </w:pPr>
      <w:rPr>
        <w:rFonts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E923D8"/>
    <w:multiLevelType w:val="multilevel"/>
    <w:tmpl w:val="0FE8BE94"/>
    <w:lvl w:ilvl="0">
      <w:start w:val="1"/>
      <w:numFmt w:val="upperLetter"/>
      <w:suff w:val="nothing"/>
      <w:lvlText w:val="Appendix %1"/>
      <w:lvlJc w:val="left"/>
      <w:pPr>
        <w:ind w:left="432" w:hanging="432"/>
      </w:pPr>
      <w:rPr>
        <w:rFonts w:cs="Times New Roman" w:hint="default"/>
      </w:rPr>
    </w:lvl>
    <w:lvl w:ilvl="1">
      <w:start w:val="1"/>
      <w:numFmt w:val="decimal"/>
      <w:lvlText w:val="%1.%2"/>
      <w:lvlJc w:val="left"/>
      <w:pPr>
        <w:tabs>
          <w:tab w:val="num" w:pos="-144"/>
        </w:tabs>
        <w:ind w:left="-144" w:hanging="576"/>
      </w:pPr>
      <w:rPr>
        <w:rFonts w:cs="Times New Roman" w:hint="default"/>
      </w:rPr>
    </w:lvl>
    <w:lvl w:ilvl="2">
      <w:start w:val="1"/>
      <w:numFmt w:val="decimal"/>
      <w:lvlText w:val="%1.%2.%3"/>
      <w:lvlJc w:val="left"/>
      <w:pPr>
        <w:tabs>
          <w:tab w:val="num" w:pos="0"/>
        </w:tabs>
        <w:ind w:hanging="720"/>
      </w:pPr>
      <w:rPr>
        <w:rFonts w:cs="Times New Roman" w:hint="default"/>
      </w:rPr>
    </w:lvl>
    <w:lvl w:ilvl="3">
      <w:start w:val="1"/>
      <w:numFmt w:val="none"/>
      <w:suff w:val="nothing"/>
      <w:lvlText w:val=""/>
      <w:lvlJc w:val="left"/>
      <w:pPr>
        <w:ind w:left="144" w:hanging="864"/>
      </w:pPr>
      <w:rPr>
        <w:rFonts w:cs="Times New Roman" w:hint="default"/>
      </w:rPr>
    </w:lvl>
    <w:lvl w:ilvl="4">
      <w:start w:val="1"/>
      <w:numFmt w:val="decimal"/>
      <w:lvlText w:val="%1.%2.%3.%4.%5"/>
      <w:lvlJc w:val="left"/>
      <w:pPr>
        <w:tabs>
          <w:tab w:val="num" w:pos="288"/>
        </w:tabs>
        <w:ind w:left="288" w:hanging="1008"/>
      </w:pPr>
      <w:rPr>
        <w:rFonts w:cs="Times New Roman" w:hint="default"/>
      </w:rPr>
    </w:lvl>
    <w:lvl w:ilvl="5">
      <w:start w:val="1"/>
      <w:numFmt w:val="decimal"/>
      <w:lvlText w:val="%1.%2.%3.%4.%5.%6"/>
      <w:lvlJc w:val="left"/>
      <w:pPr>
        <w:tabs>
          <w:tab w:val="num" w:pos="432"/>
        </w:tabs>
        <w:ind w:left="432" w:hanging="1152"/>
      </w:pPr>
      <w:rPr>
        <w:rFonts w:cs="Times New Roman" w:hint="default"/>
      </w:rPr>
    </w:lvl>
    <w:lvl w:ilvl="6">
      <w:start w:val="1"/>
      <w:numFmt w:val="decimal"/>
      <w:lvlText w:val="%1.%2.%3.%4.%5.%6.%7"/>
      <w:lvlJc w:val="left"/>
      <w:pPr>
        <w:tabs>
          <w:tab w:val="num" w:pos="576"/>
        </w:tabs>
        <w:ind w:left="576" w:hanging="1296"/>
      </w:pPr>
      <w:rPr>
        <w:rFonts w:cs="Times New Roman" w:hint="default"/>
      </w:rPr>
    </w:lvl>
    <w:lvl w:ilvl="7">
      <w:start w:val="1"/>
      <w:numFmt w:val="decimal"/>
      <w:lvlText w:val="%1.%2.%3.%4.%5.%6.%7.%8"/>
      <w:lvlJc w:val="left"/>
      <w:pPr>
        <w:tabs>
          <w:tab w:val="num" w:pos="720"/>
        </w:tabs>
        <w:ind w:left="720" w:hanging="1440"/>
      </w:pPr>
      <w:rPr>
        <w:rFonts w:cs="Times New Roman" w:hint="default"/>
      </w:rPr>
    </w:lvl>
    <w:lvl w:ilvl="8">
      <w:start w:val="1"/>
      <w:numFmt w:val="decimal"/>
      <w:lvlText w:val="%1.%2.%3.%4.%5.%6.%7.%8.%9"/>
      <w:lvlJc w:val="left"/>
      <w:pPr>
        <w:tabs>
          <w:tab w:val="num" w:pos="864"/>
        </w:tabs>
        <w:ind w:left="864" w:hanging="1584"/>
      </w:pPr>
      <w:rPr>
        <w:rFonts w:cs="Times New Roman" w:hint="default"/>
      </w:rPr>
    </w:lvl>
  </w:abstractNum>
  <w:abstractNum w:abstractNumId="7">
    <w:nsid w:val="3116544B"/>
    <w:multiLevelType w:val="hybridMultilevel"/>
    <w:tmpl w:val="D21C2E10"/>
    <w:lvl w:ilvl="0" w:tplc="C0FE62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89F7B35"/>
    <w:multiLevelType w:val="hybridMultilevel"/>
    <w:tmpl w:val="D3F0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9B75B5"/>
    <w:multiLevelType w:val="hybridMultilevel"/>
    <w:tmpl w:val="0762B430"/>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C362DC3"/>
    <w:multiLevelType w:val="hybridMultilevel"/>
    <w:tmpl w:val="77206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CCB0036"/>
    <w:multiLevelType w:val="hybridMultilevel"/>
    <w:tmpl w:val="A87AC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D05E64"/>
    <w:multiLevelType w:val="hybridMultilevel"/>
    <w:tmpl w:val="F4E6E158"/>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13">
    <w:nsid w:val="5316331C"/>
    <w:multiLevelType w:val="singleLevel"/>
    <w:tmpl w:val="BBEE1768"/>
    <w:lvl w:ilvl="0">
      <w:start w:val="1"/>
      <w:numFmt w:val="decimal"/>
      <w:pStyle w:val="ListNumber"/>
      <w:lvlText w:val="%1."/>
      <w:lvlJc w:val="left"/>
      <w:pPr>
        <w:tabs>
          <w:tab w:val="num" w:pos="562"/>
        </w:tabs>
        <w:ind w:left="562" w:hanging="562"/>
      </w:pPr>
      <w:rPr>
        <w:rFonts w:cs="Times New Roman"/>
      </w:rPr>
    </w:lvl>
  </w:abstractNum>
  <w:abstractNum w:abstractNumId="14">
    <w:nsid w:val="5C2842DA"/>
    <w:multiLevelType w:val="hybridMultilevel"/>
    <w:tmpl w:val="E56E54A6"/>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nsid w:val="5D612839"/>
    <w:multiLevelType w:val="hybridMultilevel"/>
    <w:tmpl w:val="1ED8B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3C4179"/>
    <w:multiLevelType w:val="hybridMultilevel"/>
    <w:tmpl w:val="05E47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A73C03"/>
    <w:multiLevelType w:val="singleLevel"/>
    <w:tmpl w:val="FB1C136E"/>
    <w:lvl w:ilvl="0">
      <w:start w:val="1"/>
      <w:numFmt w:val="bullet"/>
      <w:pStyle w:val="ListBullet"/>
      <w:lvlText w:val=""/>
      <w:lvlJc w:val="left"/>
      <w:pPr>
        <w:tabs>
          <w:tab w:val="num" w:pos="360"/>
        </w:tabs>
        <w:ind w:left="360" w:hanging="360"/>
      </w:pPr>
      <w:rPr>
        <w:rFonts w:ascii="Symbol" w:hAnsi="Symbol" w:hint="default"/>
      </w:rPr>
    </w:lvl>
  </w:abstractNum>
  <w:abstractNum w:abstractNumId="18">
    <w:nsid w:val="71995C01"/>
    <w:multiLevelType w:val="hybridMultilevel"/>
    <w:tmpl w:val="5C18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85355A"/>
    <w:multiLevelType w:val="hybridMultilevel"/>
    <w:tmpl w:val="DF600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0"/>
  </w:num>
  <w:num w:numId="4">
    <w:abstractNumId w:val="17"/>
  </w:num>
  <w:num w:numId="5">
    <w:abstractNumId w:val="13"/>
  </w:num>
  <w:num w:numId="6">
    <w:abstractNumId w:val="5"/>
  </w:num>
  <w:num w:numId="7">
    <w:abstractNumId w:val="2"/>
  </w:num>
  <w:num w:numId="8">
    <w:abstractNumId w:val="9"/>
  </w:num>
  <w:num w:numId="9">
    <w:abstractNumId w:val="12"/>
  </w:num>
  <w:num w:numId="10">
    <w:abstractNumId w:val="3"/>
  </w:num>
  <w:num w:numId="11">
    <w:abstractNumId w:val="7"/>
  </w:num>
  <w:num w:numId="12">
    <w:abstractNumId w:val="19"/>
  </w:num>
  <w:num w:numId="13">
    <w:abstractNumId w:val="15"/>
  </w:num>
  <w:num w:numId="14">
    <w:abstractNumId w:val="4"/>
  </w:num>
  <w:num w:numId="15">
    <w:abstractNumId w:val="1"/>
  </w:num>
  <w:num w:numId="16">
    <w:abstractNumId w:val="14"/>
  </w:num>
  <w:num w:numId="17">
    <w:abstractNumId w:val="8"/>
  </w:num>
  <w:num w:numId="18">
    <w:abstractNumId w:val="18"/>
  </w:num>
  <w:num w:numId="19">
    <w:abstractNumId w:val="16"/>
  </w:num>
  <w:num w:numId="20">
    <w:abstractNumId w:val="10"/>
  </w:num>
  <w:num w:numId="21">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proofState w:spelling="clean" w:grammar="clean"/>
  <w:stylePaneFormatFilter w:val="3F01"/>
  <w:defaultTabStop w:val="720"/>
  <w:autoHyphenation/>
  <w:hyphenationZone w:val="357"/>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savePreviewPicture/>
  <w:hdrShapeDefaults>
    <o:shapedefaults v:ext="edit" spidmax="4099"/>
    <o:shapelayout v:ext="edit">
      <o:idmap v:ext="edit" data="4"/>
    </o:shapelayout>
  </w:hdrShapeDefaults>
  <w:footnotePr>
    <w:footnote w:id="-1"/>
    <w:footnote w:id="0"/>
  </w:footnotePr>
  <w:endnotePr>
    <w:endnote w:id="-1"/>
    <w:endnote w:id="0"/>
  </w:endnotePr>
  <w:compat/>
  <w:rsids>
    <w:rsidRoot w:val="00327DD7"/>
    <w:rsid w:val="0000010C"/>
    <w:rsid w:val="00000376"/>
    <w:rsid w:val="00001269"/>
    <w:rsid w:val="00002539"/>
    <w:rsid w:val="00005134"/>
    <w:rsid w:val="00006058"/>
    <w:rsid w:val="00006410"/>
    <w:rsid w:val="000101E3"/>
    <w:rsid w:val="00011263"/>
    <w:rsid w:val="000136FE"/>
    <w:rsid w:val="000145BE"/>
    <w:rsid w:val="00015EC4"/>
    <w:rsid w:val="000177ED"/>
    <w:rsid w:val="00020337"/>
    <w:rsid w:val="00020C42"/>
    <w:rsid w:val="00024685"/>
    <w:rsid w:val="000262A9"/>
    <w:rsid w:val="00026438"/>
    <w:rsid w:val="000303C9"/>
    <w:rsid w:val="000308E1"/>
    <w:rsid w:val="000334ED"/>
    <w:rsid w:val="00035B48"/>
    <w:rsid w:val="00037AA2"/>
    <w:rsid w:val="000400B3"/>
    <w:rsid w:val="00044CBF"/>
    <w:rsid w:val="00045101"/>
    <w:rsid w:val="0004537A"/>
    <w:rsid w:val="00045569"/>
    <w:rsid w:val="000470EE"/>
    <w:rsid w:val="00047901"/>
    <w:rsid w:val="000515DC"/>
    <w:rsid w:val="0005202E"/>
    <w:rsid w:val="00053E4E"/>
    <w:rsid w:val="000547AF"/>
    <w:rsid w:val="00054C75"/>
    <w:rsid w:val="00054E5F"/>
    <w:rsid w:val="00055760"/>
    <w:rsid w:val="0005581D"/>
    <w:rsid w:val="00056437"/>
    <w:rsid w:val="000564A7"/>
    <w:rsid w:val="00057265"/>
    <w:rsid w:val="000578D5"/>
    <w:rsid w:val="00057B93"/>
    <w:rsid w:val="000601A0"/>
    <w:rsid w:val="00060A6C"/>
    <w:rsid w:val="000619F5"/>
    <w:rsid w:val="000626E1"/>
    <w:rsid w:val="00063CDE"/>
    <w:rsid w:val="00063CFF"/>
    <w:rsid w:val="000661D1"/>
    <w:rsid w:val="00070987"/>
    <w:rsid w:val="000716E0"/>
    <w:rsid w:val="00072797"/>
    <w:rsid w:val="000732A0"/>
    <w:rsid w:val="00073ACC"/>
    <w:rsid w:val="00074032"/>
    <w:rsid w:val="00074217"/>
    <w:rsid w:val="00074C16"/>
    <w:rsid w:val="00075615"/>
    <w:rsid w:val="000778A1"/>
    <w:rsid w:val="00081667"/>
    <w:rsid w:val="00081F44"/>
    <w:rsid w:val="0008217B"/>
    <w:rsid w:val="00083161"/>
    <w:rsid w:val="000849B9"/>
    <w:rsid w:val="000851AF"/>
    <w:rsid w:val="00085728"/>
    <w:rsid w:val="00086328"/>
    <w:rsid w:val="00086892"/>
    <w:rsid w:val="00087BE8"/>
    <w:rsid w:val="00090044"/>
    <w:rsid w:val="00091122"/>
    <w:rsid w:val="0009167E"/>
    <w:rsid w:val="000931FD"/>
    <w:rsid w:val="00093C79"/>
    <w:rsid w:val="00095275"/>
    <w:rsid w:val="00095735"/>
    <w:rsid w:val="0009654F"/>
    <w:rsid w:val="000A14F8"/>
    <w:rsid w:val="000A1F9E"/>
    <w:rsid w:val="000A2134"/>
    <w:rsid w:val="000A296F"/>
    <w:rsid w:val="000A2BC9"/>
    <w:rsid w:val="000A2CE4"/>
    <w:rsid w:val="000A33A3"/>
    <w:rsid w:val="000A3F8B"/>
    <w:rsid w:val="000A522A"/>
    <w:rsid w:val="000A62F3"/>
    <w:rsid w:val="000A6ECA"/>
    <w:rsid w:val="000A6F87"/>
    <w:rsid w:val="000B0238"/>
    <w:rsid w:val="000B37BF"/>
    <w:rsid w:val="000B3FA1"/>
    <w:rsid w:val="000B723A"/>
    <w:rsid w:val="000B7922"/>
    <w:rsid w:val="000C059B"/>
    <w:rsid w:val="000C07E3"/>
    <w:rsid w:val="000C0BCE"/>
    <w:rsid w:val="000C201F"/>
    <w:rsid w:val="000C30DF"/>
    <w:rsid w:val="000C3179"/>
    <w:rsid w:val="000C37E5"/>
    <w:rsid w:val="000C3F69"/>
    <w:rsid w:val="000C4036"/>
    <w:rsid w:val="000C5A05"/>
    <w:rsid w:val="000C630B"/>
    <w:rsid w:val="000C73A9"/>
    <w:rsid w:val="000C77D2"/>
    <w:rsid w:val="000D08E1"/>
    <w:rsid w:val="000D15B2"/>
    <w:rsid w:val="000D17F2"/>
    <w:rsid w:val="000D2574"/>
    <w:rsid w:val="000D3026"/>
    <w:rsid w:val="000D311F"/>
    <w:rsid w:val="000D4634"/>
    <w:rsid w:val="000D6676"/>
    <w:rsid w:val="000D6C5B"/>
    <w:rsid w:val="000D7E4A"/>
    <w:rsid w:val="000D7EBB"/>
    <w:rsid w:val="000E1A94"/>
    <w:rsid w:val="000E23D5"/>
    <w:rsid w:val="000E30B4"/>
    <w:rsid w:val="000E4598"/>
    <w:rsid w:val="000E53BE"/>
    <w:rsid w:val="000E5EB0"/>
    <w:rsid w:val="000F1F25"/>
    <w:rsid w:val="000F379B"/>
    <w:rsid w:val="000F5CD0"/>
    <w:rsid w:val="000F695D"/>
    <w:rsid w:val="000F6E95"/>
    <w:rsid w:val="000F77C1"/>
    <w:rsid w:val="001009BF"/>
    <w:rsid w:val="001010CE"/>
    <w:rsid w:val="0010171F"/>
    <w:rsid w:val="00101DBE"/>
    <w:rsid w:val="001023E5"/>
    <w:rsid w:val="00104736"/>
    <w:rsid w:val="00104BFE"/>
    <w:rsid w:val="00107E51"/>
    <w:rsid w:val="00110575"/>
    <w:rsid w:val="00113FF6"/>
    <w:rsid w:val="0011469C"/>
    <w:rsid w:val="0011583A"/>
    <w:rsid w:val="00116E75"/>
    <w:rsid w:val="00117ED4"/>
    <w:rsid w:val="001212C0"/>
    <w:rsid w:val="001223A5"/>
    <w:rsid w:val="001237E4"/>
    <w:rsid w:val="00124739"/>
    <w:rsid w:val="0012491E"/>
    <w:rsid w:val="001261FB"/>
    <w:rsid w:val="0012748C"/>
    <w:rsid w:val="0012758F"/>
    <w:rsid w:val="00127668"/>
    <w:rsid w:val="00127A69"/>
    <w:rsid w:val="00130CC4"/>
    <w:rsid w:val="00130EBC"/>
    <w:rsid w:val="001313C6"/>
    <w:rsid w:val="001317B8"/>
    <w:rsid w:val="001329B9"/>
    <w:rsid w:val="00134849"/>
    <w:rsid w:val="00134E75"/>
    <w:rsid w:val="00135AAA"/>
    <w:rsid w:val="00136EFD"/>
    <w:rsid w:val="001427F5"/>
    <w:rsid w:val="00142D2A"/>
    <w:rsid w:val="001448F1"/>
    <w:rsid w:val="001451B6"/>
    <w:rsid w:val="00145AAF"/>
    <w:rsid w:val="0014668D"/>
    <w:rsid w:val="00150178"/>
    <w:rsid w:val="0015144B"/>
    <w:rsid w:val="001514B2"/>
    <w:rsid w:val="00151DFB"/>
    <w:rsid w:val="001523D1"/>
    <w:rsid w:val="00152897"/>
    <w:rsid w:val="001533CE"/>
    <w:rsid w:val="001536E3"/>
    <w:rsid w:val="00153855"/>
    <w:rsid w:val="0015548B"/>
    <w:rsid w:val="00156BF5"/>
    <w:rsid w:val="00157429"/>
    <w:rsid w:val="00160000"/>
    <w:rsid w:val="0016103F"/>
    <w:rsid w:val="001616BF"/>
    <w:rsid w:val="001636E1"/>
    <w:rsid w:val="00164C2C"/>
    <w:rsid w:val="00164F09"/>
    <w:rsid w:val="00164F66"/>
    <w:rsid w:val="00165BD5"/>
    <w:rsid w:val="00166EFE"/>
    <w:rsid w:val="0016725A"/>
    <w:rsid w:val="001676CE"/>
    <w:rsid w:val="00167704"/>
    <w:rsid w:val="00173A60"/>
    <w:rsid w:val="001744DA"/>
    <w:rsid w:val="001750BC"/>
    <w:rsid w:val="00176AD6"/>
    <w:rsid w:val="00177C7E"/>
    <w:rsid w:val="00177E96"/>
    <w:rsid w:val="00182D03"/>
    <w:rsid w:val="001830EA"/>
    <w:rsid w:val="001833D5"/>
    <w:rsid w:val="00184BF6"/>
    <w:rsid w:val="00185D31"/>
    <w:rsid w:val="00186C86"/>
    <w:rsid w:val="00191D2D"/>
    <w:rsid w:val="001921DC"/>
    <w:rsid w:val="001935DE"/>
    <w:rsid w:val="00193FD0"/>
    <w:rsid w:val="00196123"/>
    <w:rsid w:val="00196D04"/>
    <w:rsid w:val="00197CC0"/>
    <w:rsid w:val="001A22D3"/>
    <w:rsid w:val="001A2C94"/>
    <w:rsid w:val="001A3C71"/>
    <w:rsid w:val="001A438E"/>
    <w:rsid w:val="001A52F2"/>
    <w:rsid w:val="001A6EF7"/>
    <w:rsid w:val="001A7134"/>
    <w:rsid w:val="001A78EB"/>
    <w:rsid w:val="001B1D10"/>
    <w:rsid w:val="001B3B78"/>
    <w:rsid w:val="001B5B6F"/>
    <w:rsid w:val="001C11D0"/>
    <w:rsid w:val="001C1529"/>
    <w:rsid w:val="001C2023"/>
    <w:rsid w:val="001C2DFA"/>
    <w:rsid w:val="001C2FE7"/>
    <w:rsid w:val="001C3F2D"/>
    <w:rsid w:val="001C3F5A"/>
    <w:rsid w:val="001C4BDD"/>
    <w:rsid w:val="001C4C65"/>
    <w:rsid w:val="001C51C9"/>
    <w:rsid w:val="001C6A1A"/>
    <w:rsid w:val="001C7B90"/>
    <w:rsid w:val="001C7D08"/>
    <w:rsid w:val="001D149A"/>
    <w:rsid w:val="001D14F5"/>
    <w:rsid w:val="001D19DC"/>
    <w:rsid w:val="001D2027"/>
    <w:rsid w:val="001D4725"/>
    <w:rsid w:val="001D49FF"/>
    <w:rsid w:val="001D4C26"/>
    <w:rsid w:val="001D609C"/>
    <w:rsid w:val="001E1F9B"/>
    <w:rsid w:val="001E2243"/>
    <w:rsid w:val="001E25FD"/>
    <w:rsid w:val="001E2A47"/>
    <w:rsid w:val="001E3CAD"/>
    <w:rsid w:val="001E4372"/>
    <w:rsid w:val="001E50AE"/>
    <w:rsid w:val="001E50B6"/>
    <w:rsid w:val="001E666A"/>
    <w:rsid w:val="001E731A"/>
    <w:rsid w:val="001F039E"/>
    <w:rsid w:val="001F1C87"/>
    <w:rsid w:val="001F232E"/>
    <w:rsid w:val="001F3930"/>
    <w:rsid w:val="001F3BE0"/>
    <w:rsid w:val="001F639A"/>
    <w:rsid w:val="00203E77"/>
    <w:rsid w:val="002040E9"/>
    <w:rsid w:val="0020674B"/>
    <w:rsid w:val="00210BA5"/>
    <w:rsid w:val="00210CC3"/>
    <w:rsid w:val="00212662"/>
    <w:rsid w:val="00212839"/>
    <w:rsid w:val="0021301B"/>
    <w:rsid w:val="0021308A"/>
    <w:rsid w:val="00214561"/>
    <w:rsid w:val="00214D94"/>
    <w:rsid w:val="00215D56"/>
    <w:rsid w:val="00215F6B"/>
    <w:rsid w:val="002165C4"/>
    <w:rsid w:val="0021685D"/>
    <w:rsid w:val="00216EF7"/>
    <w:rsid w:val="00216EF9"/>
    <w:rsid w:val="00217CA4"/>
    <w:rsid w:val="0022050C"/>
    <w:rsid w:val="00220E70"/>
    <w:rsid w:val="00221DC6"/>
    <w:rsid w:val="0022361B"/>
    <w:rsid w:val="00223AC6"/>
    <w:rsid w:val="00223E1C"/>
    <w:rsid w:val="00225702"/>
    <w:rsid w:val="0022575B"/>
    <w:rsid w:val="00225BF9"/>
    <w:rsid w:val="00226252"/>
    <w:rsid w:val="00227512"/>
    <w:rsid w:val="00227FCF"/>
    <w:rsid w:val="00230693"/>
    <w:rsid w:val="00230E30"/>
    <w:rsid w:val="002318E1"/>
    <w:rsid w:val="002348B2"/>
    <w:rsid w:val="00234A6C"/>
    <w:rsid w:val="00234E9A"/>
    <w:rsid w:val="0023550F"/>
    <w:rsid w:val="0023662C"/>
    <w:rsid w:val="0023682C"/>
    <w:rsid w:val="00237008"/>
    <w:rsid w:val="00241B02"/>
    <w:rsid w:val="00242659"/>
    <w:rsid w:val="00242B98"/>
    <w:rsid w:val="00245CB8"/>
    <w:rsid w:val="00246220"/>
    <w:rsid w:val="0024671E"/>
    <w:rsid w:val="00247594"/>
    <w:rsid w:val="00250186"/>
    <w:rsid w:val="00251001"/>
    <w:rsid w:val="0025142A"/>
    <w:rsid w:val="00251FB4"/>
    <w:rsid w:val="0025235A"/>
    <w:rsid w:val="00252549"/>
    <w:rsid w:val="00252C42"/>
    <w:rsid w:val="00254178"/>
    <w:rsid w:val="002550CA"/>
    <w:rsid w:val="002555AB"/>
    <w:rsid w:val="00256A95"/>
    <w:rsid w:val="00257593"/>
    <w:rsid w:val="00257A56"/>
    <w:rsid w:val="00257CF3"/>
    <w:rsid w:val="0026031F"/>
    <w:rsid w:val="00261243"/>
    <w:rsid w:val="002618F0"/>
    <w:rsid w:val="00261A3D"/>
    <w:rsid w:val="0026553D"/>
    <w:rsid w:val="0026771F"/>
    <w:rsid w:val="00267F29"/>
    <w:rsid w:val="00270E28"/>
    <w:rsid w:val="00272A82"/>
    <w:rsid w:val="002730D3"/>
    <w:rsid w:val="00274254"/>
    <w:rsid w:val="0027429D"/>
    <w:rsid w:val="00275094"/>
    <w:rsid w:val="00275B00"/>
    <w:rsid w:val="00280B56"/>
    <w:rsid w:val="00280D83"/>
    <w:rsid w:val="0028145F"/>
    <w:rsid w:val="002814F4"/>
    <w:rsid w:val="0028292F"/>
    <w:rsid w:val="00283791"/>
    <w:rsid w:val="00285EDC"/>
    <w:rsid w:val="00286842"/>
    <w:rsid w:val="00286960"/>
    <w:rsid w:val="00286F16"/>
    <w:rsid w:val="0028735F"/>
    <w:rsid w:val="00287F01"/>
    <w:rsid w:val="00290269"/>
    <w:rsid w:val="002902DB"/>
    <w:rsid w:val="00290635"/>
    <w:rsid w:val="00290713"/>
    <w:rsid w:val="00290807"/>
    <w:rsid w:val="00290AB2"/>
    <w:rsid w:val="00290F4F"/>
    <w:rsid w:val="002915B3"/>
    <w:rsid w:val="00291600"/>
    <w:rsid w:val="00291A39"/>
    <w:rsid w:val="00292B44"/>
    <w:rsid w:val="0029342A"/>
    <w:rsid w:val="00294222"/>
    <w:rsid w:val="0029453C"/>
    <w:rsid w:val="00295F6C"/>
    <w:rsid w:val="002969DF"/>
    <w:rsid w:val="00297166"/>
    <w:rsid w:val="00297D4D"/>
    <w:rsid w:val="002A001D"/>
    <w:rsid w:val="002A0B88"/>
    <w:rsid w:val="002A4539"/>
    <w:rsid w:val="002A504D"/>
    <w:rsid w:val="002B0182"/>
    <w:rsid w:val="002B07E0"/>
    <w:rsid w:val="002B1079"/>
    <w:rsid w:val="002B28DB"/>
    <w:rsid w:val="002B37A3"/>
    <w:rsid w:val="002B4405"/>
    <w:rsid w:val="002B4E7C"/>
    <w:rsid w:val="002B51E6"/>
    <w:rsid w:val="002B7F63"/>
    <w:rsid w:val="002C04D0"/>
    <w:rsid w:val="002C0546"/>
    <w:rsid w:val="002C17F9"/>
    <w:rsid w:val="002C18D6"/>
    <w:rsid w:val="002C1D96"/>
    <w:rsid w:val="002C1F7F"/>
    <w:rsid w:val="002C35D1"/>
    <w:rsid w:val="002C3C4A"/>
    <w:rsid w:val="002C6968"/>
    <w:rsid w:val="002C7C9D"/>
    <w:rsid w:val="002C7F8F"/>
    <w:rsid w:val="002D2464"/>
    <w:rsid w:val="002D2AC7"/>
    <w:rsid w:val="002D37F2"/>
    <w:rsid w:val="002D73B3"/>
    <w:rsid w:val="002D76EF"/>
    <w:rsid w:val="002D7AF6"/>
    <w:rsid w:val="002E01EE"/>
    <w:rsid w:val="002E1053"/>
    <w:rsid w:val="002E17EB"/>
    <w:rsid w:val="002E1A9D"/>
    <w:rsid w:val="002E2A78"/>
    <w:rsid w:val="002E2BE8"/>
    <w:rsid w:val="002E3DB2"/>
    <w:rsid w:val="002E3E94"/>
    <w:rsid w:val="002E47F3"/>
    <w:rsid w:val="002E69D6"/>
    <w:rsid w:val="002E6B40"/>
    <w:rsid w:val="002E7FC1"/>
    <w:rsid w:val="002F129E"/>
    <w:rsid w:val="002F3EAF"/>
    <w:rsid w:val="002F4DA8"/>
    <w:rsid w:val="002F589F"/>
    <w:rsid w:val="002F7258"/>
    <w:rsid w:val="002F7AAD"/>
    <w:rsid w:val="003002FA"/>
    <w:rsid w:val="003016C6"/>
    <w:rsid w:val="00301CBD"/>
    <w:rsid w:val="00304089"/>
    <w:rsid w:val="00305599"/>
    <w:rsid w:val="00307AEB"/>
    <w:rsid w:val="00312F8A"/>
    <w:rsid w:val="00313223"/>
    <w:rsid w:val="003137AA"/>
    <w:rsid w:val="00313CAC"/>
    <w:rsid w:val="003150AD"/>
    <w:rsid w:val="00315621"/>
    <w:rsid w:val="00316821"/>
    <w:rsid w:val="0031754D"/>
    <w:rsid w:val="0032121A"/>
    <w:rsid w:val="003213A8"/>
    <w:rsid w:val="003223A9"/>
    <w:rsid w:val="003225B1"/>
    <w:rsid w:val="00323C30"/>
    <w:rsid w:val="0032541B"/>
    <w:rsid w:val="00325FEA"/>
    <w:rsid w:val="00327DD7"/>
    <w:rsid w:val="003304D0"/>
    <w:rsid w:val="003319E2"/>
    <w:rsid w:val="00332606"/>
    <w:rsid w:val="00332A3A"/>
    <w:rsid w:val="00332CDE"/>
    <w:rsid w:val="00335B70"/>
    <w:rsid w:val="00335F80"/>
    <w:rsid w:val="0033725B"/>
    <w:rsid w:val="0033735B"/>
    <w:rsid w:val="003373E8"/>
    <w:rsid w:val="00340CBB"/>
    <w:rsid w:val="003416F6"/>
    <w:rsid w:val="00342BB0"/>
    <w:rsid w:val="003443EF"/>
    <w:rsid w:val="00344596"/>
    <w:rsid w:val="003449E4"/>
    <w:rsid w:val="0034532A"/>
    <w:rsid w:val="00346DC2"/>
    <w:rsid w:val="0034710D"/>
    <w:rsid w:val="00350CBC"/>
    <w:rsid w:val="00351150"/>
    <w:rsid w:val="00353274"/>
    <w:rsid w:val="0035481C"/>
    <w:rsid w:val="00356C8E"/>
    <w:rsid w:val="003578BF"/>
    <w:rsid w:val="00360B56"/>
    <w:rsid w:val="0036346D"/>
    <w:rsid w:val="00363F37"/>
    <w:rsid w:val="003644BC"/>
    <w:rsid w:val="00366661"/>
    <w:rsid w:val="003667C5"/>
    <w:rsid w:val="00366BD9"/>
    <w:rsid w:val="0037032B"/>
    <w:rsid w:val="00372353"/>
    <w:rsid w:val="00372C9D"/>
    <w:rsid w:val="0037331B"/>
    <w:rsid w:val="0037387A"/>
    <w:rsid w:val="00375DE7"/>
    <w:rsid w:val="003800D2"/>
    <w:rsid w:val="003807F7"/>
    <w:rsid w:val="00380DA3"/>
    <w:rsid w:val="00382CF0"/>
    <w:rsid w:val="00382DF3"/>
    <w:rsid w:val="00382F44"/>
    <w:rsid w:val="003834F4"/>
    <w:rsid w:val="00383A4F"/>
    <w:rsid w:val="00384774"/>
    <w:rsid w:val="003858FC"/>
    <w:rsid w:val="0038666B"/>
    <w:rsid w:val="003874BD"/>
    <w:rsid w:val="00387C90"/>
    <w:rsid w:val="00391322"/>
    <w:rsid w:val="00393084"/>
    <w:rsid w:val="00393289"/>
    <w:rsid w:val="00394A2E"/>
    <w:rsid w:val="00394A44"/>
    <w:rsid w:val="00395817"/>
    <w:rsid w:val="003959E1"/>
    <w:rsid w:val="00396558"/>
    <w:rsid w:val="00396CFE"/>
    <w:rsid w:val="0039748C"/>
    <w:rsid w:val="00397A9E"/>
    <w:rsid w:val="003A1056"/>
    <w:rsid w:val="003A1279"/>
    <w:rsid w:val="003A2AE5"/>
    <w:rsid w:val="003A7306"/>
    <w:rsid w:val="003A7E39"/>
    <w:rsid w:val="003B0DB0"/>
    <w:rsid w:val="003B1A83"/>
    <w:rsid w:val="003B1ACB"/>
    <w:rsid w:val="003B2A30"/>
    <w:rsid w:val="003B2F38"/>
    <w:rsid w:val="003B30F3"/>
    <w:rsid w:val="003B475C"/>
    <w:rsid w:val="003B62AD"/>
    <w:rsid w:val="003B773B"/>
    <w:rsid w:val="003B7C0A"/>
    <w:rsid w:val="003C1EF1"/>
    <w:rsid w:val="003C21CD"/>
    <w:rsid w:val="003C30FA"/>
    <w:rsid w:val="003C330E"/>
    <w:rsid w:val="003C42E9"/>
    <w:rsid w:val="003C4B5D"/>
    <w:rsid w:val="003C5541"/>
    <w:rsid w:val="003C6F4F"/>
    <w:rsid w:val="003D0B4F"/>
    <w:rsid w:val="003D1805"/>
    <w:rsid w:val="003D479F"/>
    <w:rsid w:val="003D4DF3"/>
    <w:rsid w:val="003D4DF6"/>
    <w:rsid w:val="003D4E4D"/>
    <w:rsid w:val="003E0234"/>
    <w:rsid w:val="003E04B7"/>
    <w:rsid w:val="003E0762"/>
    <w:rsid w:val="003E0C7A"/>
    <w:rsid w:val="003E19AA"/>
    <w:rsid w:val="003E1C30"/>
    <w:rsid w:val="003E1CFA"/>
    <w:rsid w:val="003E2F71"/>
    <w:rsid w:val="003E52D1"/>
    <w:rsid w:val="003E5F67"/>
    <w:rsid w:val="003E602E"/>
    <w:rsid w:val="003E6612"/>
    <w:rsid w:val="003E702A"/>
    <w:rsid w:val="003E7788"/>
    <w:rsid w:val="003E7810"/>
    <w:rsid w:val="003E7F99"/>
    <w:rsid w:val="003F10B7"/>
    <w:rsid w:val="003F2263"/>
    <w:rsid w:val="003F2977"/>
    <w:rsid w:val="003F3A8D"/>
    <w:rsid w:val="003F41FB"/>
    <w:rsid w:val="004011AA"/>
    <w:rsid w:val="0040129B"/>
    <w:rsid w:val="004013E3"/>
    <w:rsid w:val="004030C4"/>
    <w:rsid w:val="00406301"/>
    <w:rsid w:val="004065C1"/>
    <w:rsid w:val="00407E25"/>
    <w:rsid w:val="0041030A"/>
    <w:rsid w:val="00413023"/>
    <w:rsid w:val="00413B96"/>
    <w:rsid w:val="00414181"/>
    <w:rsid w:val="0041482A"/>
    <w:rsid w:val="00415DE0"/>
    <w:rsid w:val="004171B9"/>
    <w:rsid w:val="00420095"/>
    <w:rsid w:val="00420F29"/>
    <w:rsid w:val="004236EE"/>
    <w:rsid w:val="004239A9"/>
    <w:rsid w:val="00423FF4"/>
    <w:rsid w:val="0042404D"/>
    <w:rsid w:val="004251B6"/>
    <w:rsid w:val="004261F2"/>
    <w:rsid w:val="00426B34"/>
    <w:rsid w:val="0042714E"/>
    <w:rsid w:val="00427320"/>
    <w:rsid w:val="00427416"/>
    <w:rsid w:val="00427A78"/>
    <w:rsid w:val="0043083A"/>
    <w:rsid w:val="00431CE0"/>
    <w:rsid w:val="00432A3A"/>
    <w:rsid w:val="00434887"/>
    <w:rsid w:val="00434F41"/>
    <w:rsid w:val="00437F31"/>
    <w:rsid w:val="00440611"/>
    <w:rsid w:val="00440AE1"/>
    <w:rsid w:val="00442395"/>
    <w:rsid w:val="004435EA"/>
    <w:rsid w:val="00443E06"/>
    <w:rsid w:val="00444557"/>
    <w:rsid w:val="00444CEC"/>
    <w:rsid w:val="0044517F"/>
    <w:rsid w:val="00445475"/>
    <w:rsid w:val="00445C5A"/>
    <w:rsid w:val="00447735"/>
    <w:rsid w:val="00447A7D"/>
    <w:rsid w:val="00447D2E"/>
    <w:rsid w:val="00450108"/>
    <w:rsid w:val="004503E1"/>
    <w:rsid w:val="00450E8B"/>
    <w:rsid w:val="0045117B"/>
    <w:rsid w:val="00451917"/>
    <w:rsid w:val="00451C83"/>
    <w:rsid w:val="004534D1"/>
    <w:rsid w:val="00453E18"/>
    <w:rsid w:val="0045450C"/>
    <w:rsid w:val="0045583B"/>
    <w:rsid w:val="00457E39"/>
    <w:rsid w:val="004610BD"/>
    <w:rsid w:val="00461256"/>
    <w:rsid w:val="00461AB6"/>
    <w:rsid w:val="004641D4"/>
    <w:rsid w:val="004644B9"/>
    <w:rsid w:val="0046556D"/>
    <w:rsid w:val="004663EA"/>
    <w:rsid w:val="0046783A"/>
    <w:rsid w:val="00470B44"/>
    <w:rsid w:val="00470DA6"/>
    <w:rsid w:val="00472BDE"/>
    <w:rsid w:val="00475C3B"/>
    <w:rsid w:val="00475E11"/>
    <w:rsid w:val="00475EAA"/>
    <w:rsid w:val="004766E7"/>
    <w:rsid w:val="00476D3F"/>
    <w:rsid w:val="0048048D"/>
    <w:rsid w:val="00480D2B"/>
    <w:rsid w:val="00480D64"/>
    <w:rsid w:val="00481282"/>
    <w:rsid w:val="00481A60"/>
    <w:rsid w:val="00483512"/>
    <w:rsid w:val="00484410"/>
    <w:rsid w:val="00484DAF"/>
    <w:rsid w:val="004868A0"/>
    <w:rsid w:val="00486B0C"/>
    <w:rsid w:val="00486B69"/>
    <w:rsid w:val="00487384"/>
    <w:rsid w:val="004903B2"/>
    <w:rsid w:val="00490F5C"/>
    <w:rsid w:val="004927EF"/>
    <w:rsid w:val="00493ECD"/>
    <w:rsid w:val="00497158"/>
    <w:rsid w:val="004A1FB5"/>
    <w:rsid w:val="004A20D5"/>
    <w:rsid w:val="004A3492"/>
    <w:rsid w:val="004A39AC"/>
    <w:rsid w:val="004A4F4E"/>
    <w:rsid w:val="004A673D"/>
    <w:rsid w:val="004A7203"/>
    <w:rsid w:val="004A7C65"/>
    <w:rsid w:val="004B1713"/>
    <w:rsid w:val="004B36AE"/>
    <w:rsid w:val="004B4BE5"/>
    <w:rsid w:val="004B5C98"/>
    <w:rsid w:val="004B6C35"/>
    <w:rsid w:val="004C020C"/>
    <w:rsid w:val="004C08DF"/>
    <w:rsid w:val="004C2171"/>
    <w:rsid w:val="004C31D2"/>
    <w:rsid w:val="004C55A3"/>
    <w:rsid w:val="004C6CDC"/>
    <w:rsid w:val="004D052D"/>
    <w:rsid w:val="004D2DBA"/>
    <w:rsid w:val="004D3934"/>
    <w:rsid w:val="004D393B"/>
    <w:rsid w:val="004D496A"/>
    <w:rsid w:val="004D4E57"/>
    <w:rsid w:val="004D5730"/>
    <w:rsid w:val="004D722C"/>
    <w:rsid w:val="004E13ED"/>
    <w:rsid w:val="004E4235"/>
    <w:rsid w:val="004E5517"/>
    <w:rsid w:val="004E6436"/>
    <w:rsid w:val="004E7813"/>
    <w:rsid w:val="004F0605"/>
    <w:rsid w:val="004F21A4"/>
    <w:rsid w:val="004F2911"/>
    <w:rsid w:val="004F5326"/>
    <w:rsid w:val="004F7556"/>
    <w:rsid w:val="00501D57"/>
    <w:rsid w:val="005031A9"/>
    <w:rsid w:val="00505AEC"/>
    <w:rsid w:val="005070B3"/>
    <w:rsid w:val="0051266F"/>
    <w:rsid w:val="0051380C"/>
    <w:rsid w:val="00513D5A"/>
    <w:rsid w:val="00513D8C"/>
    <w:rsid w:val="00514D65"/>
    <w:rsid w:val="00516109"/>
    <w:rsid w:val="005166C8"/>
    <w:rsid w:val="0051794B"/>
    <w:rsid w:val="005220A4"/>
    <w:rsid w:val="0052269C"/>
    <w:rsid w:val="005227E0"/>
    <w:rsid w:val="0052400E"/>
    <w:rsid w:val="0052683E"/>
    <w:rsid w:val="005301C6"/>
    <w:rsid w:val="00530AFD"/>
    <w:rsid w:val="00531804"/>
    <w:rsid w:val="00531EF8"/>
    <w:rsid w:val="00532D8B"/>
    <w:rsid w:val="005338ED"/>
    <w:rsid w:val="00534439"/>
    <w:rsid w:val="00534A07"/>
    <w:rsid w:val="00536E96"/>
    <w:rsid w:val="005371C1"/>
    <w:rsid w:val="005377B4"/>
    <w:rsid w:val="00537F01"/>
    <w:rsid w:val="00540274"/>
    <w:rsid w:val="005417C1"/>
    <w:rsid w:val="00541FE8"/>
    <w:rsid w:val="005431C3"/>
    <w:rsid w:val="00546337"/>
    <w:rsid w:val="005467FD"/>
    <w:rsid w:val="00546BB0"/>
    <w:rsid w:val="00550FC0"/>
    <w:rsid w:val="005521D9"/>
    <w:rsid w:val="005526D5"/>
    <w:rsid w:val="00552839"/>
    <w:rsid w:val="0055348D"/>
    <w:rsid w:val="005542E4"/>
    <w:rsid w:val="00555589"/>
    <w:rsid w:val="00555D7D"/>
    <w:rsid w:val="00556E91"/>
    <w:rsid w:val="005570EE"/>
    <w:rsid w:val="00557A4F"/>
    <w:rsid w:val="0056004D"/>
    <w:rsid w:val="005610A6"/>
    <w:rsid w:val="0056111C"/>
    <w:rsid w:val="0056133A"/>
    <w:rsid w:val="00561C16"/>
    <w:rsid w:val="005623E9"/>
    <w:rsid w:val="00562ED2"/>
    <w:rsid w:val="005632F5"/>
    <w:rsid w:val="00564564"/>
    <w:rsid w:val="00564E97"/>
    <w:rsid w:val="00565ED4"/>
    <w:rsid w:val="00567671"/>
    <w:rsid w:val="00567692"/>
    <w:rsid w:val="005718EC"/>
    <w:rsid w:val="00571DB3"/>
    <w:rsid w:val="0057256E"/>
    <w:rsid w:val="00572862"/>
    <w:rsid w:val="0057598F"/>
    <w:rsid w:val="00576C49"/>
    <w:rsid w:val="005803B4"/>
    <w:rsid w:val="00580469"/>
    <w:rsid w:val="005807B2"/>
    <w:rsid w:val="00582BCE"/>
    <w:rsid w:val="00583037"/>
    <w:rsid w:val="00585173"/>
    <w:rsid w:val="0058605F"/>
    <w:rsid w:val="005879B4"/>
    <w:rsid w:val="005926F3"/>
    <w:rsid w:val="0059330B"/>
    <w:rsid w:val="005938AF"/>
    <w:rsid w:val="00593CC9"/>
    <w:rsid w:val="00595B4A"/>
    <w:rsid w:val="00596600"/>
    <w:rsid w:val="005A0204"/>
    <w:rsid w:val="005A027E"/>
    <w:rsid w:val="005A29F2"/>
    <w:rsid w:val="005A317C"/>
    <w:rsid w:val="005A3758"/>
    <w:rsid w:val="005A7651"/>
    <w:rsid w:val="005A7965"/>
    <w:rsid w:val="005B15EE"/>
    <w:rsid w:val="005B232A"/>
    <w:rsid w:val="005B25EA"/>
    <w:rsid w:val="005B294F"/>
    <w:rsid w:val="005B29FD"/>
    <w:rsid w:val="005B35F2"/>
    <w:rsid w:val="005B378C"/>
    <w:rsid w:val="005B3D66"/>
    <w:rsid w:val="005B41B6"/>
    <w:rsid w:val="005B4B9D"/>
    <w:rsid w:val="005B7B5B"/>
    <w:rsid w:val="005C0FB8"/>
    <w:rsid w:val="005C11B0"/>
    <w:rsid w:val="005C53E5"/>
    <w:rsid w:val="005C566C"/>
    <w:rsid w:val="005C5F46"/>
    <w:rsid w:val="005C619C"/>
    <w:rsid w:val="005C67C6"/>
    <w:rsid w:val="005C7E2A"/>
    <w:rsid w:val="005D1221"/>
    <w:rsid w:val="005D3112"/>
    <w:rsid w:val="005D3EC2"/>
    <w:rsid w:val="005D61D4"/>
    <w:rsid w:val="005D6CED"/>
    <w:rsid w:val="005E07E9"/>
    <w:rsid w:val="005E1D31"/>
    <w:rsid w:val="005E2A68"/>
    <w:rsid w:val="005F0200"/>
    <w:rsid w:val="005F0AD5"/>
    <w:rsid w:val="005F0E52"/>
    <w:rsid w:val="005F0F3C"/>
    <w:rsid w:val="005F1B0A"/>
    <w:rsid w:val="005F2987"/>
    <w:rsid w:val="005F3B37"/>
    <w:rsid w:val="005F3E66"/>
    <w:rsid w:val="005F59D5"/>
    <w:rsid w:val="00600785"/>
    <w:rsid w:val="00603F46"/>
    <w:rsid w:val="006043D2"/>
    <w:rsid w:val="00604DD1"/>
    <w:rsid w:val="006059CC"/>
    <w:rsid w:val="00606918"/>
    <w:rsid w:val="00606DF4"/>
    <w:rsid w:val="0060711F"/>
    <w:rsid w:val="00607A71"/>
    <w:rsid w:val="00607CE3"/>
    <w:rsid w:val="0061099F"/>
    <w:rsid w:val="00610B98"/>
    <w:rsid w:val="00611246"/>
    <w:rsid w:val="0061149D"/>
    <w:rsid w:val="00613482"/>
    <w:rsid w:val="00613AE9"/>
    <w:rsid w:val="0061585F"/>
    <w:rsid w:val="006165CA"/>
    <w:rsid w:val="00616D0A"/>
    <w:rsid w:val="00617BF2"/>
    <w:rsid w:val="0062031E"/>
    <w:rsid w:val="00624087"/>
    <w:rsid w:val="006240DF"/>
    <w:rsid w:val="00624761"/>
    <w:rsid w:val="00624795"/>
    <w:rsid w:val="00624CF4"/>
    <w:rsid w:val="00624E74"/>
    <w:rsid w:val="00625B73"/>
    <w:rsid w:val="00626A6D"/>
    <w:rsid w:val="006319D6"/>
    <w:rsid w:val="00631E68"/>
    <w:rsid w:val="00634759"/>
    <w:rsid w:val="00634CDD"/>
    <w:rsid w:val="00635CDC"/>
    <w:rsid w:val="006372C4"/>
    <w:rsid w:val="00637BCD"/>
    <w:rsid w:val="00637C16"/>
    <w:rsid w:val="00641129"/>
    <w:rsid w:val="00642E8A"/>
    <w:rsid w:val="00643AB4"/>
    <w:rsid w:val="00643B27"/>
    <w:rsid w:val="00643B98"/>
    <w:rsid w:val="00650B04"/>
    <w:rsid w:val="0065123B"/>
    <w:rsid w:val="00652177"/>
    <w:rsid w:val="00652619"/>
    <w:rsid w:val="00653211"/>
    <w:rsid w:val="00654785"/>
    <w:rsid w:val="0065512C"/>
    <w:rsid w:val="006559EB"/>
    <w:rsid w:val="006561A4"/>
    <w:rsid w:val="00656A61"/>
    <w:rsid w:val="00656D24"/>
    <w:rsid w:val="00660BE8"/>
    <w:rsid w:val="0066151D"/>
    <w:rsid w:val="00664A6C"/>
    <w:rsid w:val="00664FCF"/>
    <w:rsid w:val="0066518D"/>
    <w:rsid w:val="006652B9"/>
    <w:rsid w:val="006728E4"/>
    <w:rsid w:val="00672DA8"/>
    <w:rsid w:val="00673197"/>
    <w:rsid w:val="00674D19"/>
    <w:rsid w:val="006773D9"/>
    <w:rsid w:val="006779A4"/>
    <w:rsid w:val="006815E7"/>
    <w:rsid w:val="00683414"/>
    <w:rsid w:val="006836CC"/>
    <w:rsid w:val="006839EC"/>
    <w:rsid w:val="006849FC"/>
    <w:rsid w:val="00685D8C"/>
    <w:rsid w:val="00686CE1"/>
    <w:rsid w:val="006873F9"/>
    <w:rsid w:val="0068756B"/>
    <w:rsid w:val="00687DB9"/>
    <w:rsid w:val="00687F1A"/>
    <w:rsid w:val="00690A7C"/>
    <w:rsid w:val="00692165"/>
    <w:rsid w:val="00694F82"/>
    <w:rsid w:val="006958FF"/>
    <w:rsid w:val="00697DDD"/>
    <w:rsid w:val="006A15A7"/>
    <w:rsid w:val="006A19EB"/>
    <w:rsid w:val="006A3E16"/>
    <w:rsid w:val="006A4D83"/>
    <w:rsid w:val="006A696A"/>
    <w:rsid w:val="006A700B"/>
    <w:rsid w:val="006A768C"/>
    <w:rsid w:val="006A78FA"/>
    <w:rsid w:val="006B1332"/>
    <w:rsid w:val="006B2330"/>
    <w:rsid w:val="006B2EF5"/>
    <w:rsid w:val="006B335C"/>
    <w:rsid w:val="006B37F1"/>
    <w:rsid w:val="006B4378"/>
    <w:rsid w:val="006B4CAA"/>
    <w:rsid w:val="006B5403"/>
    <w:rsid w:val="006B5418"/>
    <w:rsid w:val="006B657B"/>
    <w:rsid w:val="006B6ADD"/>
    <w:rsid w:val="006B6D3E"/>
    <w:rsid w:val="006C02F7"/>
    <w:rsid w:val="006C07E7"/>
    <w:rsid w:val="006C0E3B"/>
    <w:rsid w:val="006C1348"/>
    <w:rsid w:val="006C178A"/>
    <w:rsid w:val="006C2770"/>
    <w:rsid w:val="006C4101"/>
    <w:rsid w:val="006C4962"/>
    <w:rsid w:val="006C4E64"/>
    <w:rsid w:val="006C5552"/>
    <w:rsid w:val="006C5BEF"/>
    <w:rsid w:val="006C73A0"/>
    <w:rsid w:val="006C7525"/>
    <w:rsid w:val="006C7F27"/>
    <w:rsid w:val="006C7FD4"/>
    <w:rsid w:val="006D134E"/>
    <w:rsid w:val="006D2203"/>
    <w:rsid w:val="006D2349"/>
    <w:rsid w:val="006D47B0"/>
    <w:rsid w:val="006D555A"/>
    <w:rsid w:val="006D5A62"/>
    <w:rsid w:val="006D5A9E"/>
    <w:rsid w:val="006D678B"/>
    <w:rsid w:val="006D773F"/>
    <w:rsid w:val="006E0161"/>
    <w:rsid w:val="006E0947"/>
    <w:rsid w:val="006E10C8"/>
    <w:rsid w:val="006E1B08"/>
    <w:rsid w:val="006E1BC8"/>
    <w:rsid w:val="006E2887"/>
    <w:rsid w:val="006E56A5"/>
    <w:rsid w:val="006E65E9"/>
    <w:rsid w:val="006E689D"/>
    <w:rsid w:val="006E6CD1"/>
    <w:rsid w:val="006E7873"/>
    <w:rsid w:val="006E7939"/>
    <w:rsid w:val="006E7A37"/>
    <w:rsid w:val="006F010C"/>
    <w:rsid w:val="006F0F00"/>
    <w:rsid w:val="006F1026"/>
    <w:rsid w:val="006F3259"/>
    <w:rsid w:val="006F5F0C"/>
    <w:rsid w:val="007012A8"/>
    <w:rsid w:val="00705477"/>
    <w:rsid w:val="007068BD"/>
    <w:rsid w:val="00710992"/>
    <w:rsid w:val="007125E3"/>
    <w:rsid w:val="0071272D"/>
    <w:rsid w:val="00712BA3"/>
    <w:rsid w:val="00714635"/>
    <w:rsid w:val="00715FD5"/>
    <w:rsid w:val="00716C50"/>
    <w:rsid w:val="00716C55"/>
    <w:rsid w:val="007179B9"/>
    <w:rsid w:val="00720402"/>
    <w:rsid w:val="00721E65"/>
    <w:rsid w:val="00721FC2"/>
    <w:rsid w:val="00722D37"/>
    <w:rsid w:val="007230CD"/>
    <w:rsid w:val="00724E45"/>
    <w:rsid w:val="00725135"/>
    <w:rsid w:val="00725496"/>
    <w:rsid w:val="00725AFD"/>
    <w:rsid w:val="00725D6D"/>
    <w:rsid w:val="00726946"/>
    <w:rsid w:val="007302D2"/>
    <w:rsid w:val="00730C60"/>
    <w:rsid w:val="00730E14"/>
    <w:rsid w:val="007314E5"/>
    <w:rsid w:val="00731DB7"/>
    <w:rsid w:val="00732669"/>
    <w:rsid w:val="00733050"/>
    <w:rsid w:val="00735321"/>
    <w:rsid w:val="00735E4F"/>
    <w:rsid w:val="00735EF2"/>
    <w:rsid w:val="0073666B"/>
    <w:rsid w:val="00736C06"/>
    <w:rsid w:val="00736EC5"/>
    <w:rsid w:val="00737EC2"/>
    <w:rsid w:val="00742522"/>
    <w:rsid w:val="00744916"/>
    <w:rsid w:val="00745AC8"/>
    <w:rsid w:val="0074603A"/>
    <w:rsid w:val="00751881"/>
    <w:rsid w:val="00751979"/>
    <w:rsid w:val="00751FC7"/>
    <w:rsid w:val="00752E27"/>
    <w:rsid w:val="0075371C"/>
    <w:rsid w:val="007541F5"/>
    <w:rsid w:val="00755670"/>
    <w:rsid w:val="00757263"/>
    <w:rsid w:val="00757438"/>
    <w:rsid w:val="00760135"/>
    <w:rsid w:val="0076086B"/>
    <w:rsid w:val="00760FA5"/>
    <w:rsid w:val="00762124"/>
    <w:rsid w:val="00762EAC"/>
    <w:rsid w:val="00764589"/>
    <w:rsid w:val="007702E7"/>
    <w:rsid w:val="007702FA"/>
    <w:rsid w:val="00771133"/>
    <w:rsid w:val="00771243"/>
    <w:rsid w:val="007729DF"/>
    <w:rsid w:val="00772C77"/>
    <w:rsid w:val="00773EE6"/>
    <w:rsid w:val="00773F5A"/>
    <w:rsid w:val="0077463F"/>
    <w:rsid w:val="0077746A"/>
    <w:rsid w:val="00777D33"/>
    <w:rsid w:val="007809D0"/>
    <w:rsid w:val="00781A6D"/>
    <w:rsid w:val="007820B8"/>
    <w:rsid w:val="00782D2C"/>
    <w:rsid w:val="00784857"/>
    <w:rsid w:val="00784F4B"/>
    <w:rsid w:val="007865C7"/>
    <w:rsid w:val="00786A7D"/>
    <w:rsid w:val="0078757E"/>
    <w:rsid w:val="00787A44"/>
    <w:rsid w:val="00790CB5"/>
    <w:rsid w:val="00793C77"/>
    <w:rsid w:val="007948C2"/>
    <w:rsid w:val="007966BB"/>
    <w:rsid w:val="00797F89"/>
    <w:rsid w:val="007A0BC7"/>
    <w:rsid w:val="007A0C06"/>
    <w:rsid w:val="007A19EC"/>
    <w:rsid w:val="007A25A9"/>
    <w:rsid w:val="007A25D7"/>
    <w:rsid w:val="007A322F"/>
    <w:rsid w:val="007A3352"/>
    <w:rsid w:val="007A38FD"/>
    <w:rsid w:val="007A5356"/>
    <w:rsid w:val="007A72DE"/>
    <w:rsid w:val="007A752A"/>
    <w:rsid w:val="007B0233"/>
    <w:rsid w:val="007B0538"/>
    <w:rsid w:val="007B16E1"/>
    <w:rsid w:val="007B21CC"/>
    <w:rsid w:val="007B346E"/>
    <w:rsid w:val="007B42F9"/>
    <w:rsid w:val="007B4596"/>
    <w:rsid w:val="007C252C"/>
    <w:rsid w:val="007C32FF"/>
    <w:rsid w:val="007C3D4F"/>
    <w:rsid w:val="007C4A97"/>
    <w:rsid w:val="007C56D8"/>
    <w:rsid w:val="007C6492"/>
    <w:rsid w:val="007C70A0"/>
    <w:rsid w:val="007C7DFC"/>
    <w:rsid w:val="007D0461"/>
    <w:rsid w:val="007D22E3"/>
    <w:rsid w:val="007D2C03"/>
    <w:rsid w:val="007D36AF"/>
    <w:rsid w:val="007D44CE"/>
    <w:rsid w:val="007D4AD0"/>
    <w:rsid w:val="007D4BA6"/>
    <w:rsid w:val="007D6E4E"/>
    <w:rsid w:val="007D7A3D"/>
    <w:rsid w:val="007E0244"/>
    <w:rsid w:val="007E108F"/>
    <w:rsid w:val="007E2A77"/>
    <w:rsid w:val="007E3D40"/>
    <w:rsid w:val="007E4185"/>
    <w:rsid w:val="007E5339"/>
    <w:rsid w:val="007E5CF0"/>
    <w:rsid w:val="007E71E4"/>
    <w:rsid w:val="007E751E"/>
    <w:rsid w:val="007E7D99"/>
    <w:rsid w:val="007F118E"/>
    <w:rsid w:val="007F2790"/>
    <w:rsid w:val="007F2ABE"/>
    <w:rsid w:val="007F44B3"/>
    <w:rsid w:val="007F7289"/>
    <w:rsid w:val="007F7AEC"/>
    <w:rsid w:val="008003A9"/>
    <w:rsid w:val="00801063"/>
    <w:rsid w:val="0080332D"/>
    <w:rsid w:val="00804247"/>
    <w:rsid w:val="00804463"/>
    <w:rsid w:val="00804EE0"/>
    <w:rsid w:val="00807260"/>
    <w:rsid w:val="00807B63"/>
    <w:rsid w:val="008122E6"/>
    <w:rsid w:val="00812D03"/>
    <w:rsid w:val="00815196"/>
    <w:rsid w:val="00815EB3"/>
    <w:rsid w:val="00820987"/>
    <w:rsid w:val="00823B33"/>
    <w:rsid w:val="00823F93"/>
    <w:rsid w:val="008245EB"/>
    <w:rsid w:val="00826E7C"/>
    <w:rsid w:val="00831285"/>
    <w:rsid w:val="0083205E"/>
    <w:rsid w:val="00833267"/>
    <w:rsid w:val="008335EA"/>
    <w:rsid w:val="00833A51"/>
    <w:rsid w:val="00835362"/>
    <w:rsid w:val="00835411"/>
    <w:rsid w:val="008401A1"/>
    <w:rsid w:val="00840DEC"/>
    <w:rsid w:val="008410DF"/>
    <w:rsid w:val="00842016"/>
    <w:rsid w:val="00843EED"/>
    <w:rsid w:val="0084408F"/>
    <w:rsid w:val="00844DF1"/>
    <w:rsid w:val="008467E6"/>
    <w:rsid w:val="00846CAB"/>
    <w:rsid w:val="008475D1"/>
    <w:rsid w:val="00847EC9"/>
    <w:rsid w:val="00851A08"/>
    <w:rsid w:val="00851CDE"/>
    <w:rsid w:val="00851F6F"/>
    <w:rsid w:val="008520B3"/>
    <w:rsid w:val="0085237B"/>
    <w:rsid w:val="00852510"/>
    <w:rsid w:val="008539F4"/>
    <w:rsid w:val="00853EE1"/>
    <w:rsid w:val="0085499D"/>
    <w:rsid w:val="00855203"/>
    <w:rsid w:val="0085605F"/>
    <w:rsid w:val="00856481"/>
    <w:rsid w:val="00861948"/>
    <w:rsid w:val="00862622"/>
    <w:rsid w:val="008626AE"/>
    <w:rsid w:val="00866540"/>
    <w:rsid w:val="00866C68"/>
    <w:rsid w:val="008670A2"/>
    <w:rsid w:val="0086793A"/>
    <w:rsid w:val="00871E08"/>
    <w:rsid w:val="0087229D"/>
    <w:rsid w:val="008740C7"/>
    <w:rsid w:val="00876009"/>
    <w:rsid w:val="00876ACB"/>
    <w:rsid w:val="00877109"/>
    <w:rsid w:val="008771A0"/>
    <w:rsid w:val="00880F84"/>
    <w:rsid w:val="008839A7"/>
    <w:rsid w:val="00883EE6"/>
    <w:rsid w:val="00884853"/>
    <w:rsid w:val="008860F2"/>
    <w:rsid w:val="008877AD"/>
    <w:rsid w:val="00887EA8"/>
    <w:rsid w:val="00890DDC"/>
    <w:rsid w:val="00891F15"/>
    <w:rsid w:val="00893717"/>
    <w:rsid w:val="0089378A"/>
    <w:rsid w:val="00894799"/>
    <w:rsid w:val="00895614"/>
    <w:rsid w:val="00896EEE"/>
    <w:rsid w:val="008A1300"/>
    <w:rsid w:val="008A1C60"/>
    <w:rsid w:val="008A2371"/>
    <w:rsid w:val="008A3122"/>
    <w:rsid w:val="008A3781"/>
    <w:rsid w:val="008A391B"/>
    <w:rsid w:val="008A4BC7"/>
    <w:rsid w:val="008A557E"/>
    <w:rsid w:val="008A6168"/>
    <w:rsid w:val="008B39EA"/>
    <w:rsid w:val="008B59D1"/>
    <w:rsid w:val="008B60CC"/>
    <w:rsid w:val="008B629A"/>
    <w:rsid w:val="008B77AF"/>
    <w:rsid w:val="008C1755"/>
    <w:rsid w:val="008C32FB"/>
    <w:rsid w:val="008C34DE"/>
    <w:rsid w:val="008C3C9D"/>
    <w:rsid w:val="008C3EB6"/>
    <w:rsid w:val="008C42C8"/>
    <w:rsid w:val="008C5017"/>
    <w:rsid w:val="008C712E"/>
    <w:rsid w:val="008C7F84"/>
    <w:rsid w:val="008C7F9D"/>
    <w:rsid w:val="008D008A"/>
    <w:rsid w:val="008D1960"/>
    <w:rsid w:val="008D3D7C"/>
    <w:rsid w:val="008D4C91"/>
    <w:rsid w:val="008D4D81"/>
    <w:rsid w:val="008D5367"/>
    <w:rsid w:val="008D5ABC"/>
    <w:rsid w:val="008D68B9"/>
    <w:rsid w:val="008D6B2F"/>
    <w:rsid w:val="008E1922"/>
    <w:rsid w:val="008E2EAC"/>
    <w:rsid w:val="008E31C9"/>
    <w:rsid w:val="008E31ED"/>
    <w:rsid w:val="008E3203"/>
    <w:rsid w:val="008E392A"/>
    <w:rsid w:val="008E4899"/>
    <w:rsid w:val="008E4A2D"/>
    <w:rsid w:val="008E4A7D"/>
    <w:rsid w:val="008E4F45"/>
    <w:rsid w:val="008E578D"/>
    <w:rsid w:val="008E66DC"/>
    <w:rsid w:val="008E69F8"/>
    <w:rsid w:val="008E6F88"/>
    <w:rsid w:val="008E78B8"/>
    <w:rsid w:val="008F0162"/>
    <w:rsid w:val="008F021D"/>
    <w:rsid w:val="008F0268"/>
    <w:rsid w:val="008F346D"/>
    <w:rsid w:val="008F77AF"/>
    <w:rsid w:val="008F7809"/>
    <w:rsid w:val="0090106A"/>
    <w:rsid w:val="009013C4"/>
    <w:rsid w:val="00902556"/>
    <w:rsid w:val="00902573"/>
    <w:rsid w:val="0090355A"/>
    <w:rsid w:val="009037E6"/>
    <w:rsid w:val="00905186"/>
    <w:rsid w:val="00905AEF"/>
    <w:rsid w:val="009079AA"/>
    <w:rsid w:val="0091103D"/>
    <w:rsid w:val="00912941"/>
    <w:rsid w:val="00914B0D"/>
    <w:rsid w:val="00914CD2"/>
    <w:rsid w:val="00916345"/>
    <w:rsid w:val="009165D3"/>
    <w:rsid w:val="00916637"/>
    <w:rsid w:val="00916C1B"/>
    <w:rsid w:val="0091784C"/>
    <w:rsid w:val="00917970"/>
    <w:rsid w:val="00917AD9"/>
    <w:rsid w:val="00917D0E"/>
    <w:rsid w:val="009242A2"/>
    <w:rsid w:val="009245D5"/>
    <w:rsid w:val="0092514B"/>
    <w:rsid w:val="00925852"/>
    <w:rsid w:val="009264F2"/>
    <w:rsid w:val="00926625"/>
    <w:rsid w:val="009268B3"/>
    <w:rsid w:val="009273F9"/>
    <w:rsid w:val="00927EC9"/>
    <w:rsid w:val="00930F0A"/>
    <w:rsid w:val="00933559"/>
    <w:rsid w:val="00934E23"/>
    <w:rsid w:val="009371EB"/>
    <w:rsid w:val="00937F39"/>
    <w:rsid w:val="009400E8"/>
    <w:rsid w:val="00941D7E"/>
    <w:rsid w:val="00943105"/>
    <w:rsid w:val="00943ADA"/>
    <w:rsid w:val="00945892"/>
    <w:rsid w:val="00947618"/>
    <w:rsid w:val="00947B2A"/>
    <w:rsid w:val="00950784"/>
    <w:rsid w:val="009514A2"/>
    <w:rsid w:val="00951A7B"/>
    <w:rsid w:val="00951C54"/>
    <w:rsid w:val="009534B8"/>
    <w:rsid w:val="0095368C"/>
    <w:rsid w:val="0095589F"/>
    <w:rsid w:val="00956DB0"/>
    <w:rsid w:val="009603F9"/>
    <w:rsid w:val="009611D0"/>
    <w:rsid w:val="009616F8"/>
    <w:rsid w:val="00961CC5"/>
    <w:rsid w:val="00962DA4"/>
    <w:rsid w:val="00964625"/>
    <w:rsid w:val="00964642"/>
    <w:rsid w:val="0096570D"/>
    <w:rsid w:val="009700C1"/>
    <w:rsid w:val="0097083A"/>
    <w:rsid w:val="009719CE"/>
    <w:rsid w:val="00973767"/>
    <w:rsid w:val="00973C16"/>
    <w:rsid w:val="009746F2"/>
    <w:rsid w:val="009749A9"/>
    <w:rsid w:val="00974CA7"/>
    <w:rsid w:val="00974ECD"/>
    <w:rsid w:val="009752A9"/>
    <w:rsid w:val="009754CE"/>
    <w:rsid w:val="0097637E"/>
    <w:rsid w:val="00981B3A"/>
    <w:rsid w:val="00981E8A"/>
    <w:rsid w:val="009828A3"/>
    <w:rsid w:val="00982EA0"/>
    <w:rsid w:val="00983294"/>
    <w:rsid w:val="00983E46"/>
    <w:rsid w:val="0098409F"/>
    <w:rsid w:val="00984862"/>
    <w:rsid w:val="00984A7C"/>
    <w:rsid w:val="00985368"/>
    <w:rsid w:val="0098598C"/>
    <w:rsid w:val="00985F84"/>
    <w:rsid w:val="009864B2"/>
    <w:rsid w:val="009870CE"/>
    <w:rsid w:val="009873D7"/>
    <w:rsid w:val="00994470"/>
    <w:rsid w:val="00997DCD"/>
    <w:rsid w:val="009A1EFC"/>
    <w:rsid w:val="009A2D7F"/>
    <w:rsid w:val="009A2F90"/>
    <w:rsid w:val="009A3B9F"/>
    <w:rsid w:val="009A3C4A"/>
    <w:rsid w:val="009A494A"/>
    <w:rsid w:val="009A73A4"/>
    <w:rsid w:val="009A7CD0"/>
    <w:rsid w:val="009B0582"/>
    <w:rsid w:val="009B0B03"/>
    <w:rsid w:val="009B2BA1"/>
    <w:rsid w:val="009B378A"/>
    <w:rsid w:val="009B3981"/>
    <w:rsid w:val="009B4795"/>
    <w:rsid w:val="009B595D"/>
    <w:rsid w:val="009B5DE7"/>
    <w:rsid w:val="009B645F"/>
    <w:rsid w:val="009B6903"/>
    <w:rsid w:val="009C1296"/>
    <w:rsid w:val="009C1744"/>
    <w:rsid w:val="009C226D"/>
    <w:rsid w:val="009C3219"/>
    <w:rsid w:val="009C4AA1"/>
    <w:rsid w:val="009C4B98"/>
    <w:rsid w:val="009C4CE4"/>
    <w:rsid w:val="009C6594"/>
    <w:rsid w:val="009D0035"/>
    <w:rsid w:val="009D0C67"/>
    <w:rsid w:val="009D0EAC"/>
    <w:rsid w:val="009D14B1"/>
    <w:rsid w:val="009D1FD1"/>
    <w:rsid w:val="009D2121"/>
    <w:rsid w:val="009D421E"/>
    <w:rsid w:val="009D43EA"/>
    <w:rsid w:val="009D52B6"/>
    <w:rsid w:val="009D52D2"/>
    <w:rsid w:val="009D6B64"/>
    <w:rsid w:val="009D70DE"/>
    <w:rsid w:val="009E12F6"/>
    <w:rsid w:val="009E219E"/>
    <w:rsid w:val="009E283D"/>
    <w:rsid w:val="009E3593"/>
    <w:rsid w:val="009E46AE"/>
    <w:rsid w:val="009E4DFD"/>
    <w:rsid w:val="009E5C90"/>
    <w:rsid w:val="009E5F5D"/>
    <w:rsid w:val="009E6453"/>
    <w:rsid w:val="009E7461"/>
    <w:rsid w:val="009F1310"/>
    <w:rsid w:val="009F15E8"/>
    <w:rsid w:val="009F25BC"/>
    <w:rsid w:val="009F262C"/>
    <w:rsid w:val="009F31CE"/>
    <w:rsid w:val="009F3205"/>
    <w:rsid w:val="009F6A69"/>
    <w:rsid w:val="009F6FBC"/>
    <w:rsid w:val="00A0125D"/>
    <w:rsid w:val="00A0272D"/>
    <w:rsid w:val="00A02D48"/>
    <w:rsid w:val="00A0461D"/>
    <w:rsid w:val="00A0587D"/>
    <w:rsid w:val="00A05BBB"/>
    <w:rsid w:val="00A05E85"/>
    <w:rsid w:val="00A05EC5"/>
    <w:rsid w:val="00A06B8A"/>
    <w:rsid w:val="00A07200"/>
    <w:rsid w:val="00A074FB"/>
    <w:rsid w:val="00A07FCB"/>
    <w:rsid w:val="00A10A34"/>
    <w:rsid w:val="00A11917"/>
    <w:rsid w:val="00A11E49"/>
    <w:rsid w:val="00A13C4A"/>
    <w:rsid w:val="00A14951"/>
    <w:rsid w:val="00A14C4D"/>
    <w:rsid w:val="00A15478"/>
    <w:rsid w:val="00A177C2"/>
    <w:rsid w:val="00A2082C"/>
    <w:rsid w:val="00A22C28"/>
    <w:rsid w:val="00A24AF2"/>
    <w:rsid w:val="00A27D02"/>
    <w:rsid w:val="00A31474"/>
    <w:rsid w:val="00A3209D"/>
    <w:rsid w:val="00A33C5C"/>
    <w:rsid w:val="00A34172"/>
    <w:rsid w:val="00A34593"/>
    <w:rsid w:val="00A418EC"/>
    <w:rsid w:val="00A41DDE"/>
    <w:rsid w:val="00A42834"/>
    <w:rsid w:val="00A434DA"/>
    <w:rsid w:val="00A5020D"/>
    <w:rsid w:val="00A50EE7"/>
    <w:rsid w:val="00A55F03"/>
    <w:rsid w:val="00A56F48"/>
    <w:rsid w:val="00A5755C"/>
    <w:rsid w:val="00A57837"/>
    <w:rsid w:val="00A600D9"/>
    <w:rsid w:val="00A61766"/>
    <w:rsid w:val="00A66544"/>
    <w:rsid w:val="00A72563"/>
    <w:rsid w:val="00A7338D"/>
    <w:rsid w:val="00A73C18"/>
    <w:rsid w:val="00A73C24"/>
    <w:rsid w:val="00A73D83"/>
    <w:rsid w:val="00A74DCC"/>
    <w:rsid w:val="00A753FE"/>
    <w:rsid w:val="00A75D70"/>
    <w:rsid w:val="00A760BA"/>
    <w:rsid w:val="00A761FC"/>
    <w:rsid w:val="00A7676D"/>
    <w:rsid w:val="00A803C9"/>
    <w:rsid w:val="00A8128B"/>
    <w:rsid w:val="00A823CF"/>
    <w:rsid w:val="00A83FE4"/>
    <w:rsid w:val="00A844FE"/>
    <w:rsid w:val="00A8523E"/>
    <w:rsid w:val="00A85343"/>
    <w:rsid w:val="00A85840"/>
    <w:rsid w:val="00A85FBC"/>
    <w:rsid w:val="00A87286"/>
    <w:rsid w:val="00A9025D"/>
    <w:rsid w:val="00A903B5"/>
    <w:rsid w:val="00A91C91"/>
    <w:rsid w:val="00A9224B"/>
    <w:rsid w:val="00A92A06"/>
    <w:rsid w:val="00A936DF"/>
    <w:rsid w:val="00A93CA2"/>
    <w:rsid w:val="00A9412F"/>
    <w:rsid w:val="00A946F0"/>
    <w:rsid w:val="00A96728"/>
    <w:rsid w:val="00A978DE"/>
    <w:rsid w:val="00A9794C"/>
    <w:rsid w:val="00AA0B99"/>
    <w:rsid w:val="00AA3DE7"/>
    <w:rsid w:val="00AA42A2"/>
    <w:rsid w:val="00AA430D"/>
    <w:rsid w:val="00AA5880"/>
    <w:rsid w:val="00AA737E"/>
    <w:rsid w:val="00AA7854"/>
    <w:rsid w:val="00AB002A"/>
    <w:rsid w:val="00AB006B"/>
    <w:rsid w:val="00AB3AE6"/>
    <w:rsid w:val="00AB4B43"/>
    <w:rsid w:val="00AB5DFC"/>
    <w:rsid w:val="00AB60E4"/>
    <w:rsid w:val="00AC018E"/>
    <w:rsid w:val="00AC09B3"/>
    <w:rsid w:val="00AC23E2"/>
    <w:rsid w:val="00AC3013"/>
    <w:rsid w:val="00AC31DE"/>
    <w:rsid w:val="00AC436A"/>
    <w:rsid w:val="00AC50C9"/>
    <w:rsid w:val="00AC5792"/>
    <w:rsid w:val="00AC5890"/>
    <w:rsid w:val="00AC5C2B"/>
    <w:rsid w:val="00AD010B"/>
    <w:rsid w:val="00AD099C"/>
    <w:rsid w:val="00AD186F"/>
    <w:rsid w:val="00AD2086"/>
    <w:rsid w:val="00AD3549"/>
    <w:rsid w:val="00AD42B3"/>
    <w:rsid w:val="00AD4426"/>
    <w:rsid w:val="00AD4A3C"/>
    <w:rsid w:val="00AD63D7"/>
    <w:rsid w:val="00AE01D8"/>
    <w:rsid w:val="00AE0E3E"/>
    <w:rsid w:val="00AE13D3"/>
    <w:rsid w:val="00AE2E4F"/>
    <w:rsid w:val="00AE3124"/>
    <w:rsid w:val="00AE3497"/>
    <w:rsid w:val="00AE4E40"/>
    <w:rsid w:val="00AE6331"/>
    <w:rsid w:val="00AE6B48"/>
    <w:rsid w:val="00AE6DC0"/>
    <w:rsid w:val="00AE6F3D"/>
    <w:rsid w:val="00AE7913"/>
    <w:rsid w:val="00AE7E5E"/>
    <w:rsid w:val="00AF2CFD"/>
    <w:rsid w:val="00AF2F2E"/>
    <w:rsid w:val="00AF7534"/>
    <w:rsid w:val="00B00712"/>
    <w:rsid w:val="00B00E1D"/>
    <w:rsid w:val="00B01991"/>
    <w:rsid w:val="00B01D4A"/>
    <w:rsid w:val="00B024FD"/>
    <w:rsid w:val="00B0259F"/>
    <w:rsid w:val="00B029CC"/>
    <w:rsid w:val="00B03026"/>
    <w:rsid w:val="00B03086"/>
    <w:rsid w:val="00B03907"/>
    <w:rsid w:val="00B04559"/>
    <w:rsid w:val="00B04BA7"/>
    <w:rsid w:val="00B04CE3"/>
    <w:rsid w:val="00B0610F"/>
    <w:rsid w:val="00B0667C"/>
    <w:rsid w:val="00B06813"/>
    <w:rsid w:val="00B11295"/>
    <w:rsid w:val="00B13D1B"/>
    <w:rsid w:val="00B14936"/>
    <w:rsid w:val="00B15E95"/>
    <w:rsid w:val="00B167D1"/>
    <w:rsid w:val="00B2380C"/>
    <w:rsid w:val="00B2381D"/>
    <w:rsid w:val="00B23EA1"/>
    <w:rsid w:val="00B24309"/>
    <w:rsid w:val="00B24359"/>
    <w:rsid w:val="00B2645A"/>
    <w:rsid w:val="00B268A4"/>
    <w:rsid w:val="00B3104C"/>
    <w:rsid w:val="00B31621"/>
    <w:rsid w:val="00B32206"/>
    <w:rsid w:val="00B32BA6"/>
    <w:rsid w:val="00B33CE5"/>
    <w:rsid w:val="00B360B3"/>
    <w:rsid w:val="00B366F8"/>
    <w:rsid w:val="00B36D35"/>
    <w:rsid w:val="00B41249"/>
    <w:rsid w:val="00B42E2D"/>
    <w:rsid w:val="00B42FF4"/>
    <w:rsid w:val="00B43762"/>
    <w:rsid w:val="00B451F8"/>
    <w:rsid w:val="00B4568E"/>
    <w:rsid w:val="00B46AC8"/>
    <w:rsid w:val="00B46E15"/>
    <w:rsid w:val="00B52449"/>
    <w:rsid w:val="00B5294A"/>
    <w:rsid w:val="00B53052"/>
    <w:rsid w:val="00B549D5"/>
    <w:rsid w:val="00B5754D"/>
    <w:rsid w:val="00B6031D"/>
    <w:rsid w:val="00B603B7"/>
    <w:rsid w:val="00B60E3B"/>
    <w:rsid w:val="00B644D6"/>
    <w:rsid w:val="00B65541"/>
    <w:rsid w:val="00B65A14"/>
    <w:rsid w:val="00B65F0B"/>
    <w:rsid w:val="00B66366"/>
    <w:rsid w:val="00B6773B"/>
    <w:rsid w:val="00B67982"/>
    <w:rsid w:val="00B7081C"/>
    <w:rsid w:val="00B710D3"/>
    <w:rsid w:val="00B71E44"/>
    <w:rsid w:val="00B73093"/>
    <w:rsid w:val="00B7660E"/>
    <w:rsid w:val="00B76DF3"/>
    <w:rsid w:val="00B775BC"/>
    <w:rsid w:val="00B77F94"/>
    <w:rsid w:val="00B80046"/>
    <w:rsid w:val="00B80701"/>
    <w:rsid w:val="00B81946"/>
    <w:rsid w:val="00B83202"/>
    <w:rsid w:val="00B848C2"/>
    <w:rsid w:val="00B85554"/>
    <w:rsid w:val="00B85E44"/>
    <w:rsid w:val="00B862C6"/>
    <w:rsid w:val="00B86F89"/>
    <w:rsid w:val="00B90C14"/>
    <w:rsid w:val="00B91DEB"/>
    <w:rsid w:val="00B92692"/>
    <w:rsid w:val="00B92C85"/>
    <w:rsid w:val="00B93930"/>
    <w:rsid w:val="00B942C5"/>
    <w:rsid w:val="00B94416"/>
    <w:rsid w:val="00B944C2"/>
    <w:rsid w:val="00B94A71"/>
    <w:rsid w:val="00B9694D"/>
    <w:rsid w:val="00BA0D2F"/>
    <w:rsid w:val="00BA3256"/>
    <w:rsid w:val="00BA367D"/>
    <w:rsid w:val="00BA3888"/>
    <w:rsid w:val="00BA4883"/>
    <w:rsid w:val="00BA6906"/>
    <w:rsid w:val="00BA6B6C"/>
    <w:rsid w:val="00BA6CBD"/>
    <w:rsid w:val="00BA79DD"/>
    <w:rsid w:val="00BA7C98"/>
    <w:rsid w:val="00BB0C8A"/>
    <w:rsid w:val="00BB0DA0"/>
    <w:rsid w:val="00BB1647"/>
    <w:rsid w:val="00BB50B9"/>
    <w:rsid w:val="00BB661D"/>
    <w:rsid w:val="00BB7FB1"/>
    <w:rsid w:val="00BC01E6"/>
    <w:rsid w:val="00BC020F"/>
    <w:rsid w:val="00BC08FA"/>
    <w:rsid w:val="00BC2795"/>
    <w:rsid w:val="00BC282C"/>
    <w:rsid w:val="00BC2937"/>
    <w:rsid w:val="00BC343C"/>
    <w:rsid w:val="00BC3D8A"/>
    <w:rsid w:val="00BC3DFE"/>
    <w:rsid w:val="00BC5311"/>
    <w:rsid w:val="00BC574D"/>
    <w:rsid w:val="00BC62D7"/>
    <w:rsid w:val="00BC6C62"/>
    <w:rsid w:val="00BC7376"/>
    <w:rsid w:val="00BD046C"/>
    <w:rsid w:val="00BD0E0C"/>
    <w:rsid w:val="00BD21D8"/>
    <w:rsid w:val="00BD2BF2"/>
    <w:rsid w:val="00BD3804"/>
    <w:rsid w:val="00BD45FA"/>
    <w:rsid w:val="00BD5FA4"/>
    <w:rsid w:val="00BD6254"/>
    <w:rsid w:val="00BD6351"/>
    <w:rsid w:val="00BE05EB"/>
    <w:rsid w:val="00BE0F5C"/>
    <w:rsid w:val="00BE1609"/>
    <w:rsid w:val="00BE1C6A"/>
    <w:rsid w:val="00BE36ED"/>
    <w:rsid w:val="00BE3E87"/>
    <w:rsid w:val="00BE4D6A"/>
    <w:rsid w:val="00BE5014"/>
    <w:rsid w:val="00BE5EBE"/>
    <w:rsid w:val="00BE7F32"/>
    <w:rsid w:val="00BF0B15"/>
    <w:rsid w:val="00BF0D72"/>
    <w:rsid w:val="00BF1DC4"/>
    <w:rsid w:val="00BF25A3"/>
    <w:rsid w:val="00BF37A6"/>
    <w:rsid w:val="00BF4B46"/>
    <w:rsid w:val="00BF6C0B"/>
    <w:rsid w:val="00BF7F4F"/>
    <w:rsid w:val="00C00726"/>
    <w:rsid w:val="00C00E66"/>
    <w:rsid w:val="00C01A03"/>
    <w:rsid w:val="00C03449"/>
    <w:rsid w:val="00C03717"/>
    <w:rsid w:val="00C05CC6"/>
    <w:rsid w:val="00C1012A"/>
    <w:rsid w:val="00C109A5"/>
    <w:rsid w:val="00C10F3F"/>
    <w:rsid w:val="00C11B58"/>
    <w:rsid w:val="00C121B9"/>
    <w:rsid w:val="00C12ADC"/>
    <w:rsid w:val="00C1350B"/>
    <w:rsid w:val="00C136CE"/>
    <w:rsid w:val="00C13F0F"/>
    <w:rsid w:val="00C143D0"/>
    <w:rsid w:val="00C147A9"/>
    <w:rsid w:val="00C149E1"/>
    <w:rsid w:val="00C15B83"/>
    <w:rsid w:val="00C17831"/>
    <w:rsid w:val="00C17D15"/>
    <w:rsid w:val="00C17EFE"/>
    <w:rsid w:val="00C20387"/>
    <w:rsid w:val="00C215BF"/>
    <w:rsid w:val="00C2346C"/>
    <w:rsid w:val="00C24524"/>
    <w:rsid w:val="00C27E91"/>
    <w:rsid w:val="00C3038C"/>
    <w:rsid w:val="00C31A21"/>
    <w:rsid w:val="00C3276D"/>
    <w:rsid w:val="00C32E32"/>
    <w:rsid w:val="00C33E66"/>
    <w:rsid w:val="00C34A85"/>
    <w:rsid w:val="00C358D5"/>
    <w:rsid w:val="00C35BF0"/>
    <w:rsid w:val="00C36EB7"/>
    <w:rsid w:val="00C3791D"/>
    <w:rsid w:val="00C37ECE"/>
    <w:rsid w:val="00C40301"/>
    <w:rsid w:val="00C4046B"/>
    <w:rsid w:val="00C40EE7"/>
    <w:rsid w:val="00C43F04"/>
    <w:rsid w:val="00C44069"/>
    <w:rsid w:val="00C44816"/>
    <w:rsid w:val="00C44A6B"/>
    <w:rsid w:val="00C45879"/>
    <w:rsid w:val="00C46B60"/>
    <w:rsid w:val="00C5030A"/>
    <w:rsid w:val="00C50995"/>
    <w:rsid w:val="00C5174D"/>
    <w:rsid w:val="00C51A4A"/>
    <w:rsid w:val="00C524A1"/>
    <w:rsid w:val="00C53BD3"/>
    <w:rsid w:val="00C5472F"/>
    <w:rsid w:val="00C548BF"/>
    <w:rsid w:val="00C56069"/>
    <w:rsid w:val="00C6328F"/>
    <w:rsid w:val="00C6483B"/>
    <w:rsid w:val="00C648BC"/>
    <w:rsid w:val="00C66CCD"/>
    <w:rsid w:val="00C670DE"/>
    <w:rsid w:val="00C704FC"/>
    <w:rsid w:val="00C71569"/>
    <w:rsid w:val="00C71585"/>
    <w:rsid w:val="00C729C4"/>
    <w:rsid w:val="00C734AF"/>
    <w:rsid w:val="00C74453"/>
    <w:rsid w:val="00C760D2"/>
    <w:rsid w:val="00C767B0"/>
    <w:rsid w:val="00C80181"/>
    <w:rsid w:val="00C8154F"/>
    <w:rsid w:val="00C82B35"/>
    <w:rsid w:val="00C834D6"/>
    <w:rsid w:val="00C8497C"/>
    <w:rsid w:val="00C84B92"/>
    <w:rsid w:val="00C85BE1"/>
    <w:rsid w:val="00C86B79"/>
    <w:rsid w:val="00C87969"/>
    <w:rsid w:val="00C87B52"/>
    <w:rsid w:val="00C87FD5"/>
    <w:rsid w:val="00C90A14"/>
    <w:rsid w:val="00C90A5F"/>
    <w:rsid w:val="00C90E23"/>
    <w:rsid w:val="00C91260"/>
    <w:rsid w:val="00C91A21"/>
    <w:rsid w:val="00C942D7"/>
    <w:rsid w:val="00C946EB"/>
    <w:rsid w:val="00C94C99"/>
    <w:rsid w:val="00C94CB7"/>
    <w:rsid w:val="00C95A4D"/>
    <w:rsid w:val="00C95C87"/>
    <w:rsid w:val="00C96B95"/>
    <w:rsid w:val="00C9733D"/>
    <w:rsid w:val="00C97F80"/>
    <w:rsid w:val="00CA05C2"/>
    <w:rsid w:val="00CA29D7"/>
    <w:rsid w:val="00CA2D05"/>
    <w:rsid w:val="00CA354C"/>
    <w:rsid w:val="00CA38F5"/>
    <w:rsid w:val="00CA49E8"/>
    <w:rsid w:val="00CA4CB0"/>
    <w:rsid w:val="00CA4F41"/>
    <w:rsid w:val="00CA5F3F"/>
    <w:rsid w:val="00CA62CA"/>
    <w:rsid w:val="00CB064B"/>
    <w:rsid w:val="00CB0A57"/>
    <w:rsid w:val="00CB1208"/>
    <w:rsid w:val="00CB2322"/>
    <w:rsid w:val="00CB451C"/>
    <w:rsid w:val="00CB4FC0"/>
    <w:rsid w:val="00CB54EA"/>
    <w:rsid w:val="00CB5AC3"/>
    <w:rsid w:val="00CB5B13"/>
    <w:rsid w:val="00CB6BBD"/>
    <w:rsid w:val="00CB7C11"/>
    <w:rsid w:val="00CC0697"/>
    <w:rsid w:val="00CC1F92"/>
    <w:rsid w:val="00CC388F"/>
    <w:rsid w:val="00CC5280"/>
    <w:rsid w:val="00CC5F5A"/>
    <w:rsid w:val="00CC78B9"/>
    <w:rsid w:val="00CD0AE3"/>
    <w:rsid w:val="00CD2331"/>
    <w:rsid w:val="00CD3D11"/>
    <w:rsid w:val="00CD54EA"/>
    <w:rsid w:val="00CD5C30"/>
    <w:rsid w:val="00CD650A"/>
    <w:rsid w:val="00CD6898"/>
    <w:rsid w:val="00CD6B0D"/>
    <w:rsid w:val="00CE0C7E"/>
    <w:rsid w:val="00CE0DB5"/>
    <w:rsid w:val="00CE1996"/>
    <w:rsid w:val="00CE32B0"/>
    <w:rsid w:val="00CE473E"/>
    <w:rsid w:val="00CE4D03"/>
    <w:rsid w:val="00CE4F2D"/>
    <w:rsid w:val="00CE5BB6"/>
    <w:rsid w:val="00CE7AD8"/>
    <w:rsid w:val="00CF10F7"/>
    <w:rsid w:val="00CF1C72"/>
    <w:rsid w:val="00CF3F9D"/>
    <w:rsid w:val="00CF6D41"/>
    <w:rsid w:val="00CF6D7B"/>
    <w:rsid w:val="00CF7317"/>
    <w:rsid w:val="00CF7496"/>
    <w:rsid w:val="00CF74B5"/>
    <w:rsid w:val="00CF7728"/>
    <w:rsid w:val="00CF78AA"/>
    <w:rsid w:val="00D0030D"/>
    <w:rsid w:val="00D02929"/>
    <w:rsid w:val="00D03295"/>
    <w:rsid w:val="00D053CB"/>
    <w:rsid w:val="00D05F16"/>
    <w:rsid w:val="00D065B9"/>
    <w:rsid w:val="00D07187"/>
    <w:rsid w:val="00D072B4"/>
    <w:rsid w:val="00D07D02"/>
    <w:rsid w:val="00D10549"/>
    <w:rsid w:val="00D13521"/>
    <w:rsid w:val="00D14522"/>
    <w:rsid w:val="00D14AE4"/>
    <w:rsid w:val="00D16526"/>
    <w:rsid w:val="00D16E06"/>
    <w:rsid w:val="00D22373"/>
    <w:rsid w:val="00D232C7"/>
    <w:rsid w:val="00D249DB"/>
    <w:rsid w:val="00D24EAD"/>
    <w:rsid w:val="00D2529C"/>
    <w:rsid w:val="00D2581E"/>
    <w:rsid w:val="00D268F2"/>
    <w:rsid w:val="00D27599"/>
    <w:rsid w:val="00D2773E"/>
    <w:rsid w:val="00D33903"/>
    <w:rsid w:val="00D34476"/>
    <w:rsid w:val="00D404BF"/>
    <w:rsid w:val="00D463A6"/>
    <w:rsid w:val="00D467A6"/>
    <w:rsid w:val="00D46FA4"/>
    <w:rsid w:val="00D471F9"/>
    <w:rsid w:val="00D50058"/>
    <w:rsid w:val="00D50AB8"/>
    <w:rsid w:val="00D54318"/>
    <w:rsid w:val="00D5447F"/>
    <w:rsid w:val="00D55CEC"/>
    <w:rsid w:val="00D60B89"/>
    <w:rsid w:val="00D636E6"/>
    <w:rsid w:val="00D6390C"/>
    <w:rsid w:val="00D63F00"/>
    <w:rsid w:val="00D64567"/>
    <w:rsid w:val="00D64775"/>
    <w:rsid w:val="00D651B0"/>
    <w:rsid w:val="00D65950"/>
    <w:rsid w:val="00D66332"/>
    <w:rsid w:val="00D667C3"/>
    <w:rsid w:val="00D670F5"/>
    <w:rsid w:val="00D67237"/>
    <w:rsid w:val="00D700E9"/>
    <w:rsid w:val="00D72FB1"/>
    <w:rsid w:val="00D75806"/>
    <w:rsid w:val="00D76144"/>
    <w:rsid w:val="00D776D7"/>
    <w:rsid w:val="00D777E7"/>
    <w:rsid w:val="00D77A3C"/>
    <w:rsid w:val="00D77EEA"/>
    <w:rsid w:val="00D80953"/>
    <w:rsid w:val="00D82A0C"/>
    <w:rsid w:val="00D83405"/>
    <w:rsid w:val="00D862EF"/>
    <w:rsid w:val="00D90104"/>
    <w:rsid w:val="00D9015F"/>
    <w:rsid w:val="00D91B3D"/>
    <w:rsid w:val="00D924A6"/>
    <w:rsid w:val="00D93192"/>
    <w:rsid w:val="00D93779"/>
    <w:rsid w:val="00D93DC5"/>
    <w:rsid w:val="00D95968"/>
    <w:rsid w:val="00D963C7"/>
    <w:rsid w:val="00D9641D"/>
    <w:rsid w:val="00D96426"/>
    <w:rsid w:val="00DA2D51"/>
    <w:rsid w:val="00DA32E0"/>
    <w:rsid w:val="00DA4A90"/>
    <w:rsid w:val="00DA4B70"/>
    <w:rsid w:val="00DA5A02"/>
    <w:rsid w:val="00DA5F55"/>
    <w:rsid w:val="00DA67B2"/>
    <w:rsid w:val="00DA6D32"/>
    <w:rsid w:val="00DA7048"/>
    <w:rsid w:val="00DB011A"/>
    <w:rsid w:val="00DB212F"/>
    <w:rsid w:val="00DB3BC8"/>
    <w:rsid w:val="00DB4DBE"/>
    <w:rsid w:val="00DB6500"/>
    <w:rsid w:val="00DB7443"/>
    <w:rsid w:val="00DB7F72"/>
    <w:rsid w:val="00DC0601"/>
    <w:rsid w:val="00DC1D4A"/>
    <w:rsid w:val="00DC2228"/>
    <w:rsid w:val="00DC223A"/>
    <w:rsid w:val="00DC562D"/>
    <w:rsid w:val="00DD0BF0"/>
    <w:rsid w:val="00DD1657"/>
    <w:rsid w:val="00DD24CD"/>
    <w:rsid w:val="00DD369D"/>
    <w:rsid w:val="00DD593A"/>
    <w:rsid w:val="00DD5A25"/>
    <w:rsid w:val="00DD6777"/>
    <w:rsid w:val="00DD6CA8"/>
    <w:rsid w:val="00DD70CB"/>
    <w:rsid w:val="00DE0AF4"/>
    <w:rsid w:val="00DE4624"/>
    <w:rsid w:val="00DE4D4E"/>
    <w:rsid w:val="00DE52D6"/>
    <w:rsid w:val="00DF0D2E"/>
    <w:rsid w:val="00DF18E5"/>
    <w:rsid w:val="00DF2313"/>
    <w:rsid w:val="00DF2EE2"/>
    <w:rsid w:val="00DF32E1"/>
    <w:rsid w:val="00DF3D9E"/>
    <w:rsid w:val="00DF41DB"/>
    <w:rsid w:val="00DF555A"/>
    <w:rsid w:val="00DF5EC0"/>
    <w:rsid w:val="00DF7985"/>
    <w:rsid w:val="00DF7B7A"/>
    <w:rsid w:val="00DF7DC9"/>
    <w:rsid w:val="00E05B34"/>
    <w:rsid w:val="00E05E46"/>
    <w:rsid w:val="00E069FB"/>
    <w:rsid w:val="00E07D32"/>
    <w:rsid w:val="00E11DCB"/>
    <w:rsid w:val="00E12D7A"/>
    <w:rsid w:val="00E133D9"/>
    <w:rsid w:val="00E13C2A"/>
    <w:rsid w:val="00E13CDD"/>
    <w:rsid w:val="00E1496D"/>
    <w:rsid w:val="00E1593D"/>
    <w:rsid w:val="00E208A8"/>
    <w:rsid w:val="00E225C2"/>
    <w:rsid w:val="00E22850"/>
    <w:rsid w:val="00E23B2B"/>
    <w:rsid w:val="00E24518"/>
    <w:rsid w:val="00E25267"/>
    <w:rsid w:val="00E2580E"/>
    <w:rsid w:val="00E25A87"/>
    <w:rsid w:val="00E27F48"/>
    <w:rsid w:val="00E30012"/>
    <w:rsid w:val="00E30072"/>
    <w:rsid w:val="00E30757"/>
    <w:rsid w:val="00E319F3"/>
    <w:rsid w:val="00E323CD"/>
    <w:rsid w:val="00E3278E"/>
    <w:rsid w:val="00E32F56"/>
    <w:rsid w:val="00E34103"/>
    <w:rsid w:val="00E347BC"/>
    <w:rsid w:val="00E36BCF"/>
    <w:rsid w:val="00E4139D"/>
    <w:rsid w:val="00E4199D"/>
    <w:rsid w:val="00E42135"/>
    <w:rsid w:val="00E42800"/>
    <w:rsid w:val="00E429B4"/>
    <w:rsid w:val="00E4398E"/>
    <w:rsid w:val="00E459F4"/>
    <w:rsid w:val="00E47F6D"/>
    <w:rsid w:val="00E50977"/>
    <w:rsid w:val="00E51DBD"/>
    <w:rsid w:val="00E52F57"/>
    <w:rsid w:val="00E53D04"/>
    <w:rsid w:val="00E54055"/>
    <w:rsid w:val="00E5496F"/>
    <w:rsid w:val="00E54BD7"/>
    <w:rsid w:val="00E54BE1"/>
    <w:rsid w:val="00E57312"/>
    <w:rsid w:val="00E57322"/>
    <w:rsid w:val="00E57D29"/>
    <w:rsid w:val="00E60EA1"/>
    <w:rsid w:val="00E614DA"/>
    <w:rsid w:val="00E61A78"/>
    <w:rsid w:val="00E63103"/>
    <w:rsid w:val="00E654E4"/>
    <w:rsid w:val="00E65F88"/>
    <w:rsid w:val="00E66321"/>
    <w:rsid w:val="00E67481"/>
    <w:rsid w:val="00E67DEC"/>
    <w:rsid w:val="00E67E01"/>
    <w:rsid w:val="00E70621"/>
    <w:rsid w:val="00E70DAC"/>
    <w:rsid w:val="00E71AF6"/>
    <w:rsid w:val="00E734E1"/>
    <w:rsid w:val="00E74BCD"/>
    <w:rsid w:val="00E772E4"/>
    <w:rsid w:val="00E80068"/>
    <w:rsid w:val="00E804AA"/>
    <w:rsid w:val="00E80657"/>
    <w:rsid w:val="00E80CBB"/>
    <w:rsid w:val="00E816D4"/>
    <w:rsid w:val="00E8234C"/>
    <w:rsid w:val="00E8250C"/>
    <w:rsid w:val="00E828CE"/>
    <w:rsid w:val="00E82EFD"/>
    <w:rsid w:val="00E83021"/>
    <w:rsid w:val="00E83082"/>
    <w:rsid w:val="00E8329B"/>
    <w:rsid w:val="00E83C17"/>
    <w:rsid w:val="00E8517A"/>
    <w:rsid w:val="00E8579C"/>
    <w:rsid w:val="00E859FA"/>
    <w:rsid w:val="00E86118"/>
    <w:rsid w:val="00E864F5"/>
    <w:rsid w:val="00E878C8"/>
    <w:rsid w:val="00E87DF3"/>
    <w:rsid w:val="00E87E7D"/>
    <w:rsid w:val="00E921CE"/>
    <w:rsid w:val="00E92625"/>
    <w:rsid w:val="00E92697"/>
    <w:rsid w:val="00E929E9"/>
    <w:rsid w:val="00E935FE"/>
    <w:rsid w:val="00E947B7"/>
    <w:rsid w:val="00E9514B"/>
    <w:rsid w:val="00E97DFF"/>
    <w:rsid w:val="00E97F17"/>
    <w:rsid w:val="00EA08E6"/>
    <w:rsid w:val="00EA1CC5"/>
    <w:rsid w:val="00EA282F"/>
    <w:rsid w:val="00EA45FD"/>
    <w:rsid w:val="00EA586C"/>
    <w:rsid w:val="00EA6F08"/>
    <w:rsid w:val="00EB0DA6"/>
    <w:rsid w:val="00EB1DF2"/>
    <w:rsid w:val="00EB2971"/>
    <w:rsid w:val="00EB3CF7"/>
    <w:rsid w:val="00EB489D"/>
    <w:rsid w:val="00EB5223"/>
    <w:rsid w:val="00EB5710"/>
    <w:rsid w:val="00EB6ABF"/>
    <w:rsid w:val="00EB6DDD"/>
    <w:rsid w:val="00EB6F47"/>
    <w:rsid w:val="00EB7182"/>
    <w:rsid w:val="00EC0EBC"/>
    <w:rsid w:val="00EC10BA"/>
    <w:rsid w:val="00EC1450"/>
    <w:rsid w:val="00EC16D4"/>
    <w:rsid w:val="00EC1ABF"/>
    <w:rsid w:val="00EC2603"/>
    <w:rsid w:val="00EC306D"/>
    <w:rsid w:val="00EC6613"/>
    <w:rsid w:val="00EC7EA7"/>
    <w:rsid w:val="00ED0AB3"/>
    <w:rsid w:val="00ED2230"/>
    <w:rsid w:val="00ED22A3"/>
    <w:rsid w:val="00ED48AA"/>
    <w:rsid w:val="00ED4A7C"/>
    <w:rsid w:val="00ED683E"/>
    <w:rsid w:val="00EE0E80"/>
    <w:rsid w:val="00EE0EB2"/>
    <w:rsid w:val="00EE0EBE"/>
    <w:rsid w:val="00EE14F8"/>
    <w:rsid w:val="00EE1798"/>
    <w:rsid w:val="00EE1812"/>
    <w:rsid w:val="00EE1A86"/>
    <w:rsid w:val="00EE1A92"/>
    <w:rsid w:val="00EE2FED"/>
    <w:rsid w:val="00EE3015"/>
    <w:rsid w:val="00EE37BB"/>
    <w:rsid w:val="00EE674F"/>
    <w:rsid w:val="00EE6BED"/>
    <w:rsid w:val="00EF1379"/>
    <w:rsid w:val="00EF1545"/>
    <w:rsid w:val="00EF1566"/>
    <w:rsid w:val="00EF1766"/>
    <w:rsid w:val="00EF2068"/>
    <w:rsid w:val="00EF3848"/>
    <w:rsid w:val="00EF3D3C"/>
    <w:rsid w:val="00EF42BB"/>
    <w:rsid w:val="00EF44AE"/>
    <w:rsid w:val="00EF452C"/>
    <w:rsid w:val="00EF482D"/>
    <w:rsid w:val="00EF5105"/>
    <w:rsid w:val="00EF57FE"/>
    <w:rsid w:val="00EF5CFC"/>
    <w:rsid w:val="00EF6BCA"/>
    <w:rsid w:val="00F0022F"/>
    <w:rsid w:val="00F01681"/>
    <w:rsid w:val="00F01CD8"/>
    <w:rsid w:val="00F031C2"/>
    <w:rsid w:val="00F03FC7"/>
    <w:rsid w:val="00F06EF4"/>
    <w:rsid w:val="00F07707"/>
    <w:rsid w:val="00F10C1B"/>
    <w:rsid w:val="00F117BD"/>
    <w:rsid w:val="00F12F5C"/>
    <w:rsid w:val="00F1432B"/>
    <w:rsid w:val="00F146EC"/>
    <w:rsid w:val="00F14C9F"/>
    <w:rsid w:val="00F15AF6"/>
    <w:rsid w:val="00F16310"/>
    <w:rsid w:val="00F166CE"/>
    <w:rsid w:val="00F2013E"/>
    <w:rsid w:val="00F22726"/>
    <w:rsid w:val="00F2314F"/>
    <w:rsid w:val="00F24555"/>
    <w:rsid w:val="00F254F3"/>
    <w:rsid w:val="00F26CB5"/>
    <w:rsid w:val="00F27105"/>
    <w:rsid w:val="00F27F54"/>
    <w:rsid w:val="00F308A0"/>
    <w:rsid w:val="00F32281"/>
    <w:rsid w:val="00F33605"/>
    <w:rsid w:val="00F33A4D"/>
    <w:rsid w:val="00F33AE1"/>
    <w:rsid w:val="00F35141"/>
    <w:rsid w:val="00F35580"/>
    <w:rsid w:val="00F36275"/>
    <w:rsid w:val="00F377D7"/>
    <w:rsid w:val="00F40147"/>
    <w:rsid w:val="00F421A8"/>
    <w:rsid w:val="00F436E8"/>
    <w:rsid w:val="00F43756"/>
    <w:rsid w:val="00F444D7"/>
    <w:rsid w:val="00F47A5A"/>
    <w:rsid w:val="00F47BBE"/>
    <w:rsid w:val="00F47F95"/>
    <w:rsid w:val="00F50177"/>
    <w:rsid w:val="00F50706"/>
    <w:rsid w:val="00F509C0"/>
    <w:rsid w:val="00F510A7"/>
    <w:rsid w:val="00F51943"/>
    <w:rsid w:val="00F520AD"/>
    <w:rsid w:val="00F524AC"/>
    <w:rsid w:val="00F53BCF"/>
    <w:rsid w:val="00F540CE"/>
    <w:rsid w:val="00F543B1"/>
    <w:rsid w:val="00F54888"/>
    <w:rsid w:val="00F55006"/>
    <w:rsid w:val="00F56A2A"/>
    <w:rsid w:val="00F56B7C"/>
    <w:rsid w:val="00F56E88"/>
    <w:rsid w:val="00F57A1A"/>
    <w:rsid w:val="00F57A7F"/>
    <w:rsid w:val="00F6016D"/>
    <w:rsid w:val="00F601DD"/>
    <w:rsid w:val="00F60640"/>
    <w:rsid w:val="00F62BC7"/>
    <w:rsid w:val="00F62F02"/>
    <w:rsid w:val="00F632BC"/>
    <w:rsid w:val="00F63A93"/>
    <w:rsid w:val="00F649CE"/>
    <w:rsid w:val="00F6511B"/>
    <w:rsid w:val="00F672F7"/>
    <w:rsid w:val="00F7070D"/>
    <w:rsid w:val="00F71185"/>
    <w:rsid w:val="00F721F2"/>
    <w:rsid w:val="00F72D21"/>
    <w:rsid w:val="00F7350B"/>
    <w:rsid w:val="00F75BDB"/>
    <w:rsid w:val="00F7606E"/>
    <w:rsid w:val="00F7613B"/>
    <w:rsid w:val="00F7696F"/>
    <w:rsid w:val="00F776A7"/>
    <w:rsid w:val="00F77A6D"/>
    <w:rsid w:val="00F803DC"/>
    <w:rsid w:val="00F827CB"/>
    <w:rsid w:val="00F83292"/>
    <w:rsid w:val="00F83382"/>
    <w:rsid w:val="00F83502"/>
    <w:rsid w:val="00F83A01"/>
    <w:rsid w:val="00F83B55"/>
    <w:rsid w:val="00F847A1"/>
    <w:rsid w:val="00F85E45"/>
    <w:rsid w:val="00F87B4C"/>
    <w:rsid w:val="00F91CDD"/>
    <w:rsid w:val="00F92793"/>
    <w:rsid w:val="00F9357A"/>
    <w:rsid w:val="00F945C0"/>
    <w:rsid w:val="00F960BD"/>
    <w:rsid w:val="00F96F05"/>
    <w:rsid w:val="00F979E5"/>
    <w:rsid w:val="00F97EFD"/>
    <w:rsid w:val="00FA0089"/>
    <w:rsid w:val="00FA207E"/>
    <w:rsid w:val="00FA27C2"/>
    <w:rsid w:val="00FA4AE7"/>
    <w:rsid w:val="00FA4FC1"/>
    <w:rsid w:val="00FA7EF0"/>
    <w:rsid w:val="00FB0C5C"/>
    <w:rsid w:val="00FB10EA"/>
    <w:rsid w:val="00FB1738"/>
    <w:rsid w:val="00FB4AA3"/>
    <w:rsid w:val="00FB6041"/>
    <w:rsid w:val="00FB6B32"/>
    <w:rsid w:val="00FB6CE8"/>
    <w:rsid w:val="00FB727A"/>
    <w:rsid w:val="00FC0B14"/>
    <w:rsid w:val="00FC154F"/>
    <w:rsid w:val="00FC2601"/>
    <w:rsid w:val="00FC2775"/>
    <w:rsid w:val="00FC31C7"/>
    <w:rsid w:val="00FC31EC"/>
    <w:rsid w:val="00FC3372"/>
    <w:rsid w:val="00FC3D02"/>
    <w:rsid w:val="00FC75DE"/>
    <w:rsid w:val="00FC7C86"/>
    <w:rsid w:val="00FD04FD"/>
    <w:rsid w:val="00FD0882"/>
    <w:rsid w:val="00FD0CF2"/>
    <w:rsid w:val="00FD478E"/>
    <w:rsid w:val="00FD5039"/>
    <w:rsid w:val="00FD6232"/>
    <w:rsid w:val="00FD64A9"/>
    <w:rsid w:val="00FD6F11"/>
    <w:rsid w:val="00FE09AE"/>
    <w:rsid w:val="00FE0E13"/>
    <w:rsid w:val="00FE3513"/>
    <w:rsid w:val="00FE373B"/>
    <w:rsid w:val="00FE3E9C"/>
    <w:rsid w:val="00FE408D"/>
    <w:rsid w:val="00FE4A21"/>
    <w:rsid w:val="00FE4EFE"/>
    <w:rsid w:val="00FE5EB0"/>
    <w:rsid w:val="00FE6ACC"/>
    <w:rsid w:val="00FE7FEA"/>
    <w:rsid w:val="00FF1971"/>
    <w:rsid w:val="00FF3D73"/>
    <w:rsid w:val="00FF5359"/>
    <w:rsid w:val="00FF584B"/>
    <w:rsid w:val="00FF5C5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lsdException w:name="toc 5" w:semiHidden="0"/>
    <w:lsdException w:name="toc 6" w:semiHidden="0"/>
    <w:lsdException w:name="toc 7" w:semiHidden="0"/>
    <w:lsdException w:name="toc 8" w:semiHidden="0"/>
    <w:lsdException w:name="toc 9" w:semiHidden="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4CD2"/>
    <w:pPr>
      <w:spacing w:before="120" w:after="120"/>
      <w:ind w:left="-720"/>
      <w:jc w:val="both"/>
    </w:pPr>
    <w:rPr>
      <w:rFonts w:ascii="Times New Roman" w:hAnsi="Times New Roman"/>
      <w:sz w:val="24"/>
    </w:rPr>
  </w:style>
  <w:style w:type="paragraph" w:styleId="Heading1">
    <w:name w:val="heading 1"/>
    <w:basedOn w:val="Normal"/>
    <w:next w:val="BodyText"/>
    <w:link w:val="Heading1Char"/>
    <w:uiPriority w:val="99"/>
    <w:qFormat/>
    <w:rsid w:val="00A07FCB"/>
    <w:pPr>
      <w:keepNext/>
      <w:suppressLineNumbers/>
      <w:spacing w:before="360" w:after="240"/>
      <w:ind w:left="720" w:hanging="708"/>
      <w:jc w:val="left"/>
      <w:outlineLvl w:val="0"/>
    </w:pPr>
    <w:rPr>
      <w:rFonts w:ascii="Arial Bold" w:hAnsi="Arial Bold"/>
      <w:b/>
      <w:caps/>
      <w:color w:val="808080"/>
      <w:kern w:val="28"/>
      <w:sz w:val="28"/>
      <w:u w:color="568A9E"/>
    </w:rPr>
  </w:style>
  <w:style w:type="paragraph" w:styleId="Heading2">
    <w:name w:val="heading 2"/>
    <w:basedOn w:val="Normal"/>
    <w:next w:val="BodyText"/>
    <w:link w:val="Heading2Char"/>
    <w:uiPriority w:val="99"/>
    <w:qFormat/>
    <w:rsid w:val="00914CD2"/>
    <w:pPr>
      <w:keepNext/>
      <w:suppressLineNumbers/>
      <w:tabs>
        <w:tab w:val="num" w:pos="360"/>
      </w:tabs>
      <w:spacing w:before="240"/>
      <w:ind w:left="360" w:hanging="360"/>
      <w:jc w:val="left"/>
      <w:outlineLvl w:val="1"/>
    </w:pPr>
    <w:rPr>
      <w:rFonts w:ascii="Arial Bold" w:hAnsi="Arial Bold"/>
      <w:b/>
      <w:smallCaps/>
      <w:color w:val="808080"/>
    </w:rPr>
  </w:style>
  <w:style w:type="paragraph" w:styleId="Heading3">
    <w:name w:val="heading 3"/>
    <w:basedOn w:val="Normal"/>
    <w:next w:val="BodyText"/>
    <w:link w:val="Heading3Char"/>
    <w:uiPriority w:val="99"/>
    <w:qFormat/>
    <w:rsid w:val="00914CD2"/>
    <w:pPr>
      <w:keepNext/>
      <w:suppressLineNumbers/>
      <w:tabs>
        <w:tab w:val="num" w:pos="0"/>
      </w:tabs>
      <w:spacing w:before="240"/>
      <w:ind w:left="0" w:hanging="720"/>
      <w:jc w:val="left"/>
      <w:outlineLvl w:val="2"/>
    </w:pPr>
    <w:rPr>
      <w:rFonts w:ascii="Arial Bold" w:hAnsi="Arial Bold"/>
      <w:b/>
      <w:color w:val="808080"/>
      <w:sz w:val="22"/>
    </w:rPr>
  </w:style>
  <w:style w:type="paragraph" w:styleId="Heading4">
    <w:name w:val="heading 4"/>
    <w:basedOn w:val="Normal"/>
    <w:next w:val="BodyText"/>
    <w:link w:val="Heading4Char"/>
    <w:uiPriority w:val="99"/>
    <w:qFormat/>
    <w:rsid w:val="00914CD2"/>
    <w:pPr>
      <w:keepNext/>
      <w:suppressLineNumbers/>
      <w:suppressAutoHyphens/>
      <w:spacing w:before="200"/>
      <w:ind w:left="0"/>
      <w:jc w:val="left"/>
      <w:outlineLvl w:val="3"/>
    </w:pPr>
    <w:rPr>
      <w:rFonts w:ascii="Arial Bold" w:hAnsi="Arial Bold"/>
      <w:b/>
      <w:i/>
      <w:color w:val="808080"/>
      <w:sz w:val="20"/>
    </w:rPr>
  </w:style>
  <w:style w:type="paragraph" w:styleId="Heading5">
    <w:name w:val="heading 5"/>
    <w:basedOn w:val="Normal"/>
    <w:next w:val="Normal"/>
    <w:link w:val="Heading5Char"/>
    <w:uiPriority w:val="99"/>
    <w:qFormat/>
    <w:rsid w:val="00914CD2"/>
    <w:pPr>
      <w:ind w:left="3540" w:hanging="708"/>
      <w:outlineLvl w:val="4"/>
    </w:pPr>
    <w:rPr>
      <w:b/>
      <w:sz w:val="20"/>
    </w:rPr>
  </w:style>
  <w:style w:type="paragraph" w:styleId="Heading6">
    <w:name w:val="heading 6"/>
    <w:basedOn w:val="Normal"/>
    <w:next w:val="Normal"/>
    <w:link w:val="Heading6Char"/>
    <w:uiPriority w:val="99"/>
    <w:qFormat/>
    <w:rsid w:val="00914CD2"/>
    <w:pPr>
      <w:ind w:left="4248" w:hanging="708"/>
      <w:outlineLvl w:val="5"/>
    </w:pPr>
    <w:rPr>
      <w:sz w:val="20"/>
      <w:u w:val="single"/>
    </w:rPr>
  </w:style>
  <w:style w:type="paragraph" w:styleId="Heading7">
    <w:name w:val="heading 7"/>
    <w:basedOn w:val="Normal"/>
    <w:next w:val="Normal"/>
    <w:link w:val="Heading7Char"/>
    <w:uiPriority w:val="99"/>
    <w:qFormat/>
    <w:rsid w:val="00914CD2"/>
    <w:pPr>
      <w:spacing w:before="240" w:after="60"/>
      <w:ind w:left="4956" w:hanging="708"/>
      <w:outlineLvl w:val="6"/>
    </w:pPr>
    <w:rPr>
      <w:rFonts w:ascii="Arial" w:hAnsi="Arial"/>
      <w:sz w:val="20"/>
    </w:rPr>
  </w:style>
  <w:style w:type="paragraph" w:styleId="Heading8">
    <w:name w:val="heading 8"/>
    <w:basedOn w:val="Normal"/>
    <w:next w:val="Normal"/>
    <w:link w:val="Heading8Char"/>
    <w:uiPriority w:val="99"/>
    <w:qFormat/>
    <w:rsid w:val="00914CD2"/>
    <w:pPr>
      <w:spacing w:before="240" w:after="60"/>
      <w:ind w:left="5664" w:hanging="708"/>
      <w:outlineLvl w:val="7"/>
    </w:pPr>
    <w:rPr>
      <w:rFonts w:ascii="Arial" w:hAnsi="Arial"/>
      <w:i/>
      <w:sz w:val="20"/>
    </w:rPr>
  </w:style>
  <w:style w:type="paragraph" w:styleId="Heading9">
    <w:name w:val="heading 9"/>
    <w:basedOn w:val="Normal"/>
    <w:next w:val="Normal"/>
    <w:link w:val="Heading9Char"/>
    <w:uiPriority w:val="99"/>
    <w:qFormat/>
    <w:rsid w:val="00914CD2"/>
    <w:pPr>
      <w:spacing w:before="240" w:after="60"/>
      <w:ind w:left="6372"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07FCB"/>
    <w:rPr>
      <w:rFonts w:ascii="Arial Bold" w:hAnsi="Arial Bold"/>
      <w:b/>
      <w:caps/>
      <w:color w:val="808080"/>
      <w:kern w:val="28"/>
      <w:sz w:val="28"/>
      <w:szCs w:val="20"/>
      <w:u w:color="568A9E"/>
    </w:rPr>
  </w:style>
  <w:style w:type="character" w:customStyle="1" w:styleId="Heading2Char">
    <w:name w:val="Heading 2 Char"/>
    <w:link w:val="Heading2"/>
    <w:uiPriority w:val="99"/>
    <w:locked/>
    <w:rsid w:val="0057256E"/>
    <w:rPr>
      <w:rFonts w:ascii="Arial Bold" w:hAnsi="Arial Bold" w:cs="Times New Roman"/>
      <w:b/>
      <w:smallCaps/>
      <w:color w:val="808080"/>
      <w:sz w:val="20"/>
      <w:szCs w:val="20"/>
    </w:rPr>
  </w:style>
  <w:style w:type="character" w:customStyle="1" w:styleId="Heading3Char">
    <w:name w:val="Heading 3 Char"/>
    <w:link w:val="Heading3"/>
    <w:uiPriority w:val="99"/>
    <w:locked/>
    <w:rsid w:val="0057256E"/>
    <w:rPr>
      <w:rFonts w:ascii="Arial Bold" w:hAnsi="Arial Bold" w:cs="Times New Roman"/>
      <w:b/>
      <w:color w:val="808080"/>
      <w:sz w:val="20"/>
      <w:szCs w:val="20"/>
    </w:rPr>
  </w:style>
  <w:style w:type="character" w:customStyle="1" w:styleId="Heading4Char">
    <w:name w:val="Heading 4 Char"/>
    <w:link w:val="Heading4"/>
    <w:uiPriority w:val="99"/>
    <w:locked/>
    <w:rsid w:val="0057256E"/>
    <w:rPr>
      <w:rFonts w:ascii="Calibri" w:hAnsi="Calibri" w:cs="Times New Roman"/>
      <w:b/>
      <w:bCs/>
      <w:sz w:val="28"/>
      <w:szCs w:val="28"/>
    </w:rPr>
  </w:style>
  <w:style w:type="character" w:customStyle="1" w:styleId="Heading5Char">
    <w:name w:val="Heading 5 Char"/>
    <w:link w:val="Heading5"/>
    <w:uiPriority w:val="99"/>
    <w:locked/>
    <w:rsid w:val="0057256E"/>
    <w:rPr>
      <w:rFonts w:ascii="Times New Roman" w:hAnsi="Times New Roman" w:cs="Times New Roman"/>
      <w:b/>
      <w:sz w:val="20"/>
      <w:szCs w:val="20"/>
    </w:rPr>
  </w:style>
  <w:style w:type="character" w:customStyle="1" w:styleId="Heading6Char">
    <w:name w:val="Heading 6 Char"/>
    <w:link w:val="Heading6"/>
    <w:uiPriority w:val="99"/>
    <w:locked/>
    <w:rsid w:val="0057256E"/>
    <w:rPr>
      <w:rFonts w:ascii="Times New Roman" w:hAnsi="Times New Roman" w:cs="Times New Roman"/>
      <w:sz w:val="20"/>
      <w:szCs w:val="20"/>
      <w:u w:val="single"/>
    </w:rPr>
  </w:style>
  <w:style w:type="character" w:customStyle="1" w:styleId="Heading7Char">
    <w:name w:val="Heading 7 Char"/>
    <w:link w:val="Heading7"/>
    <w:uiPriority w:val="99"/>
    <w:locked/>
    <w:rsid w:val="0057256E"/>
    <w:rPr>
      <w:rFonts w:ascii="Arial" w:hAnsi="Arial" w:cs="Times New Roman"/>
      <w:sz w:val="20"/>
      <w:szCs w:val="20"/>
    </w:rPr>
  </w:style>
  <w:style w:type="character" w:customStyle="1" w:styleId="Heading8Char">
    <w:name w:val="Heading 8 Char"/>
    <w:link w:val="Heading8"/>
    <w:uiPriority w:val="99"/>
    <w:locked/>
    <w:rsid w:val="0057256E"/>
    <w:rPr>
      <w:rFonts w:ascii="Arial" w:hAnsi="Arial" w:cs="Times New Roman"/>
      <w:i/>
      <w:sz w:val="20"/>
      <w:szCs w:val="20"/>
    </w:rPr>
  </w:style>
  <w:style w:type="character" w:customStyle="1" w:styleId="Heading9Char">
    <w:name w:val="Heading 9 Char"/>
    <w:link w:val="Heading9"/>
    <w:uiPriority w:val="99"/>
    <w:locked/>
    <w:rsid w:val="0057256E"/>
    <w:rPr>
      <w:rFonts w:ascii="Arial" w:hAnsi="Arial" w:cs="Times New Roman"/>
      <w:i/>
      <w:sz w:val="20"/>
      <w:szCs w:val="20"/>
    </w:rPr>
  </w:style>
  <w:style w:type="paragraph" w:styleId="BalloonText">
    <w:name w:val="Balloon Text"/>
    <w:basedOn w:val="Normal"/>
    <w:link w:val="BalloonTextChar"/>
    <w:uiPriority w:val="99"/>
    <w:semiHidden/>
    <w:rsid w:val="003E2F71"/>
    <w:rPr>
      <w:rFonts w:ascii="Tahoma" w:hAnsi="Tahoma" w:cs="Tahoma"/>
      <w:sz w:val="16"/>
      <w:szCs w:val="16"/>
    </w:rPr>
  </w:style>
  <w:style w:type="character" w:customStyle="1" w:styleId="BalloonTextChar">
    <w:name w:val="Balloon Text Char"/>
    <w:link w:val="BalloonText"/>
    <w:uiPriority w:val="99"/>
    <w:semiHidden/>
    <w:locked/>
    <w:rsid w:val="0057256E"/>
    <w:rPr>
      <w:rFonts w:ascii="Times New Roman" w:hAnsi="Times New Roman" w:cs="Times New Roman"/>
      <w:sz w:val="2"/>
    </w:rPr>
  </w:style>
  <w:style w:type="paragraph" w:styleId="BodyText">
    <w:name w:val="Body Text"/>
    <w:basedOn w:val="Normal"/>
    <w:link w:val="BodyTextChar"/>
    <w:uiPriority w:val="99"/>
    <w:rsid w:val="00914CD2"/>
    <w:pPr>
      <w:suppressAutoHyphens/>
      <w:spacing w:line="280" w:lineRule="exact"/>
      <w:ind w:left="0"/>
      <w:jc w:val="left"/>
    </w:pPr>
    <w:rPr>
      <w:rFonts w:ascii="Arial" w:hAnsi="Arial"/>
      <w:sz w:val="20"/>
    </w:rPr>
  </w:style>
  <w:style w:type="character" w:customStyle="1" w:styleId="BodyTextChar">
    <w:name w:val="Body Text Char"/>
    <w:link w:val="BodyText"/>
    <w:uiPriority w:val="99"/>
    <w:locked/>
    <w:rsid w:val="00252549"/>
    <w:rPr>
      <w:rFonts w:ascii="Arial" w:hAnsi="Arial" w:cs="Times New Roman"/>
      <w:lang w:val="en-US" w:eastAsia="en-US" w:bidi="ar-SA"/>
    </w:rPr>
  </w:style>
  <w:style w:type="paragraph" w:styleId="Title">
    <w:name w:val="Title"/>
    <w:basedOn w:val="Normal"/>
    <w:link w:val="TitleChar"/>
    <w:uiPriority w:val="99"/>
    <w:qFormat/>
    <w:rsid w:val="00914CD2"/>
    <w:pPr>
      <w:widowControl w:val="0"/>
      <w:suppressAutoHyphens/>
      <w:spacing w:before="0" w:after="280"/>
      <w:ind w:left="431" w:right="-357"/>
      <w:jc w:val="left"/>
    </w:pPr>
    <w:rPr>
      <w:rFonts w:ascii="Arial Bold" w:hAnsi="Arial Bold"/>
      <w:b/>
      <w:color w:val="FFFFFF"/>
      <w:sz w:val="40"/>
      <w:lang w:val="en-AU"/>
    </w:rPr>
  </w:style>
  <w:style w:type="character" w:customStyle="1" w:styleId="TitleChar">
    <w:name w:val="Title Char"/>
    <w:link w:val="Title"/>
    <w:uiPriority w:val="99"/>
    <w:locked/>
    <w:rsid w:val="0057256E"/>
    <w:rPr>
      <w:rFonts w:ascii="Cambria" w:hAnsi="Cambria" w:cs="Times New Roman"/>
      <w:b/>
      <w:bCs/>
      <w:kern w:val="28"/>
      <w:sz w:val="32"/>
      <w:szCs w:val="32"/>
    </w:rPr>
  </w:style>
  <w:style w:type="paragraph" w:styleId="TOC2">
    <w:name w:val="toc 2"/>
    <w:basedOn w:val="Normal"/>
    <w:next w:val="Normal"/>
    <w:uiPriority w:val="39"/>
    <w:rsid w:val="00914CD2"/>
    <w:pPr>
      <w:tabs>
        <w:tab w:val="left" w:pos="425"/>
        <w:tab w:val="right" w:leader="dot" w:pos="8222"/>
      </w:tabs>
      <w:spacing w:after="0"/>
      <w:ind w:left="425" w:hanging="714"/>
      <w:jc w:val="left"/>
    </w:pPr>
    <w:rPr>
      <w:rFonts w:ascii="Arial" w:hAnsi="Arial"/>
      <w:smallCaps/>
      <w:noProof/>
      <w:sz w:val="20"/>
    </w:rPr>
  </w:style>
  <w:style w:type="paragraph" w:styleId="TOC1">
    <w:name w:val="toc 1"/>
    <w:basedOn w:val="Normal"/>
    <w:next w:val="Normal"/>
    <w:uiPriority w:val="39"/>
    <w:rsid w:val="00914CD2"/>
    <w:pPr>
      <w:tabs>
        <w:tab w:val="left" w:pos="-144"/>
        <w:tab w:val="right" w:leader="dot" w:pos="8222"/>
      </w:tabs>
      <w:spacing w:before="360"/>
      <w:ind w:left="-288" w:hanging="432"/>
      <w:jc w:val="left"/>
    </w:pPr>
    <w:rPr>
      <w:rFonts w:ascii="Arial" w:hAnsi="Arial"/>
      <w:caps/>
      <w:noProof/>
      <w:color w:val="808080"/>
      <w:sz w:val="22"/>
    </w:rPr>
  </w:style>
  <w:style w:type="paragraph" w:styleId="Footer">
    <w:name w:val="footer"/>
    <w:basedOn w:val="Normal"/>
    <w:link w:val="FooterChar"/>
    <w:uiPriority w:val="99"/>
    <w:rsid w:val="00006410"/>
    <w:pPr>
      <w:pBdr>
        <w:top w:val="single" w:sz="6" w:space="1" w:color="808080"/>
      </w:pBdr>
      <w:tabs>
        <w:tab w:val="center" w:pos="3686"/>
        <w:tab w:val="right" w:pos="8280"/>
      </w:tabs>
    </w:pPr>
    <w:rPr>
      <w:rFonts w:ascii="Arial" w:hAnsi="Arial"/>
      <w:sz w:val="18"/>
    </w:rPr>
  </w:style>
  <w:style w:type="character" w:customStyle="1" w:styleId="FooterChar">
    <w:name w:val="Footer Char"/>
    <w:link w:val="Footer"/>
    <w:uiPriority w:val="99"/>
    <w:semiHidden/>
    <w:locked/>
    <w:rsid w:val="0057256E"/>
    <w:rPr>
      <w:rFonts w:ascii="Times New Roman" w:hAnsi="Times New Roman" w:cs="Times New Roman"/>
      <w:sz w:val="20"/>
      <w:szCs w:val="20"/>
    </w:rPr>
  </w:style>
  <w:style w:type="paragraph" w:styleId="Header">
    <w:name w:val="header"/>
    <w:basedOn w:val="Normal"/>
    <w:link w:val="HeaderChar"/>
    <w:uiPriority w:val="99"/>
    <w:rsid w:val="00220E70"/>
    <w:pPr>
      <w:tabs>
        <w:tab w:val="right" w:pos="7938"/>
        <w:tab w:val="right" w:pos="13860"/>
      </w:tabs>
      <w:spacing w:before="0" w:after="0"/>
    </w:pPr>
    <w:rPr>
      <w:rFonts w:ascii="Arial" w:hAnsi="Arial"/>
      <w:sz w:val="20"/>
    </w:rPr>
  </w:style>
  <w:style w:type="character" w:customStyle="1" w:styleId="HeaderChar">
    <w:name w:val="Header Char"/>
    <w:link w:val="Header"/>
    <w:uiPriority w:val="99"/>
    <w:semiHidden/>
    <w:locked/>
    <w:rsid w:val="0057256E"/>
    <w:rPr>
      <w:rFonts w:ascii="Times New Roman" w:hAnsi="Times New Roman" w:cs="Times New Roman"/>
      <w:sz w:val="20"/>
      <w:szCs w:val="20"/>
    </w:rPr>
  </w:style>
  <w:style w:type="character" w:styleId="FootnoteReference">
    <w:name w:val="footnote reference"/>
    <w:uiPriority w:val="99"/>
    <w:semiHidden/>
    <w:rsid w:val="00914CD2"/>
    <w:rPr>
      <w:rFonts w:cs="Times New Roman"/>
      <w:position w:val="6"/>
      <w:sz w:val="16"/>
    </w:rPr>
  </w:style>
  <w:style w:type="paragraph" w:styleId="FootnoteText">
    <w:name w:val="footnote text"/>
    <w:basedOn w:val="Normal"/>
    <w:link w:val="FootnoteTextChar"/>
    <w:uiPriority w:val="99"/>
    <w:semiHidden/>
    <w:rsid w:val="00914CD2"/>
    <w:pPr>
      <w:keepLines/>
      <w:suppressAutoHyphens/>
      <w:spacing w:line="240" w:lineRule="exact"/>
      <w:ind w:left="0" w:hanging="720"/>
    </w:pPr>
    <w:rPr>
      <w:rFonts w:ascii="Arial" w:hAnsi="Arial"/>
      <w:sz w:val="16"/>
    </w:rPr>
  </w:style>
  <w:style w:type="character" w:customStyle="1" w:styleId="FootnoteTextChar">
    <w:name w:val="Footnote Text Char"/>
    <w:link w:val="FootnoteText"/>
    <w:uiPriority w:val="99"/>
    <w:locked/>
    <w:rsid w:val="00C36EB7"/>
    <w:rPr>
      <w:rFonts w:ascii="Arial" w:hAnsi="Arial" w:cs="Times New Roman"/>
      <w:sz w:val="16"/>
      <w:lang w:val="en-US" w:eastAsia="en-US" w:bidi="ar-SA"/>
    </w:rPr>
  </w:style>
  <w:style w:type="paragraph" w:styleId="TOC3">
    <w:name w:val="toc 3"/>
    <w:basedOn w:val="Normal"/>
    <w:next w:val="Normal"/>
    <w:uiPriority w:val="39"/>
    <w:rsid w:val="00914CD2"/>
    <w:pPr>
      <w:tabs>
        <w:tab w:val="left" w:pos="432"/>
        <w:tab w:val="left" w:pos="1080"/>
        <w:tab w:val="left" w:pos="1200"/>
        <w:tab w:val="right" w:leader="dot" w:pos="8222"/>
      </w:tabs>
      <w:spacing w:after="0"/>
      <w:ind w:left="432"/>
      <w:jc w:val="left"/>
    </w:pPr>
    <w:rPr>
      <w:rFonts w:ascii="Arial" w:hAnsi="Arial"/>
      <w:noProof/>
      <w:sz w:val="18"/>
    </w:rPr>
  </w:style>
  <w:style w:type="paragraph" w:styleId="ListNumber">
    <w:name w:val="List Number"/>
    <w:basedOn w:val="Normal"/>
    <w:uiPriority w:val="99"/>
    <w:rsid w:val="00914CD2"/>
    <w:pPr>
      <w:keepLines/>
      <w:numPr>
        <w:numId w:val="5"/>
      </w:numPr>
      <w:tabs>
        <w:tab w:val="clear" w:pos="562"/>
        <w:tab w:val="num" w:pos="426"/>
      </w:tabs>
      <w:suppressAutoHyphens/>
      <w:spacing w:line="280" w:lineRule="exact"/>
      <w:ind w:left="432" w:hanging="432"/>
      <w:jc w:val="left"/>
    </w:pPr>
    <w:rPr>
      <w:rFonts w:ascii="Arial" w:hAnsi="Arial"/>
      <w:sz w:val="20"/>
    </w:rPr>
  </w:style>
  <w:style w:type="paragraph" w:styleId="TOC4">
    <w:name w:val="toc 4"/>
    <w:basedOn w:val="Normal"/>
    <w:next w:val="Normal"/>
    <w:uiPriority w:val="99"/>
    <w:semiHidden/>
    <w:rsid w:val="00914CD2"/>
    <w:pPr>
      <w:spacing w:before="0" w:after="0"/>
      <w:ind w:left="720"/>
      <w:jc w:val="left"/>
    </w:pPr>
    <w:rPr>
      <w:sz w:val="18"/>
    </w:rPr>
  </w:style>
  <w:style w:type="paragraph" w:styleId="TOC5">
    <w:name w:val="toc 5"/>
    <w:basedOn w:val="Normal"/>
    <w:next w:val="Normal"/>
    <w:uiPriority w:val="99"/>
    <w:semiHidden/>
    <w:rsid w:val="00914CD2"/>
    <w:pPr>
      <w:spacing w:before="0" w:after="0"/>
      <w:ind w:left="960"/>
      <w:jc w:val="left"/>
    </w:pPr>
    <w:rPr>
      <w:sz w:val="18"/>
    </w:rPr>
  </w:style>
  <w:style w:type="paragraph" w:styleId="TOC6">
    <w:name w:val="toc 6"/>
    <w:basedOn w:val="Normal"/>
    <w:next w:val="Normal"/>
    <w:uiPriority w:val="99"/>
    <w:semiHidden/>
    <w:rsid w:val="00914CD2"/>
    <w:pPr>
      <w:spacing w:before="0" w:after="0"/>
      <w:ind w:left="1200"/>
      <w:jc w:val="left"/>
    </w:pPr>
    <w:rPr>
      <w:sz w:val="18"/>
    </w:rPr>
  </w:style>
  <w:style w:type="paragraph" w:styleId="TOC7">
    <w:name w:val="toc 7"/>
    <w:basedOn w:val="Normal"/>
    <w:next w:val="Normal"/>
    <w:uiPriority w:val="99"/>
    <w:semiHidden/>
    <w:rsid w:val="00914CD2"/>
    <w:pPr>
      <w:spacing w:before="0" w:after="0"/>
      <w:ind w:left="1440"/>
      <w:jc w:val="left"/>
    </w:pPr>
    <w:rPr>
      <w:sz w:val="18"/>
    </w:rPr>
  </w:style>
  <w:style w:type="paragraph" w:styleId="TOC8">
    <w:name w:val="toc 8"/>
    <w:basedOn w:val="Normal"/>
    <w:next w:val="Normal"/>
    <w:uiPriority w:val="99"/>
    <w:semiHidden/>
    <w:rsid w:val="00914CD2"/>
    <w:pPr>
      <w:spacing w:before="0" w:after="0"/>
      <w:ind w:left="1680"/>
      <w:jc w:val="left"/>
    </w:pPr>
    <w:rPr>
      <w:sz w:val="18"/>
    </w:rPr>
  </w:style>
  <w:style w:type="paragraph" w:styleId="TOC9">
    <w:name w:val="toc 9"/>
    <w:basedOn w:val="Normal"/>
    <w:next w:val="Normal"/>
    <w:uiPriority w:val="99"/>
    <w:semiHidden/>
    <w:rsid w:val="00914CD2"/>
    <w:pPr>
      <w:spacing w:before="0" w:after="0"/>
      <w:ind w:left="1920"/>
      <w:jc w:val="left"/>
    </w:pPr>
    <w:rPr>
      <w:sz w:val="18"/>
    </w:rPr>
  </w:style>
  <w:style w:type="paragraph" w:styleId="Date">
    <w:name w:val="Date"/>
    <w:basedOn w:val="Normal"/>
    <w:next w:val="Normal"/>
    <w:link w:val="DateChar"/>
    <w:uiPriority w:val="99"/>
    <w:rsid w:val="00914CD2"/>
    <w:pPr>
      <w:spacing w:before="0" w:after="0"/>
      <w:ind w:left="885" w:right="-357"/>
      <w:jc w:val="left"/>
    </w:pPr>
    <w:rPr>
      <w:rFonts w:ascii="Arial Bold" w:hAnsi="Arial Bold"/>
      <w:b/>
      <w:color w:val="FFFFFF"/>
      <w:sz w:val="19"/>
    </w:rPr>
  </w:style>
  <w:style w:type="character" w:customStyle="1" w:styleId="DateChar">
    <w:name w:val="Date Char"/>
    <w:link w:val="Date"/>
    <w:uiPriority w:val="99"/>
    <w:semiHidden/>
    <w:locked/>
    <w:rsid w:val="0057256E"/>
    <w:rPr>
      <w:rFonts w:ascii="Times New Roman" w:hAnsi="Times New Roman" w:cs="Times New Roman"/>
      <w:sz w:val="20"/>
      <w:szCs w:val="20"/>
    </w:rPr>
  </w:style>
  <w:style w:type="paragraph" w:customStyle="1" w:styleId="Status">
    <w:name w:val="Status"/>
    <w:uiPriority w:val="99"/>
    <w:rsid w:val="00006410"/>
    <w:pPr>
      <w:spacing w:before="120" w:after="120" w:line="280" w:lineRule="exact"/>
    </w:pPr>
    <w:rPr>
      <w:rFonts w:ascii="Arial Bold" w:hAnsi="Arial Bold"/>
      <w:b/>
      <w:noProof/>
      <w:color w:val="808080"/>
      <w:sz w:val="22"/>
    </w:rPr>
  </w:style>
  <w:style w:type="paragraph" w:customStyle="1" w:styleId="SectionHeading">
    <w:name w:val="Section Heading"/>
    <w:basedOn w:val="Normal"/>
    <w:uiPriority w:val="99"/>
    <w:rsid w:val="00914CD2"/>
    <w:pPr>
      <w:spacing w:before="240" w:after="240" w:line="360" w:lineRule="auto"/>
      <w:jc w:val="center"/>
    </w:pPr>
    <w:rPr>
      <w:rFonts w:ascii="Arial Bold" w:hAnsi="Arial Bold"/>
      <w:b/>
      <w:caps/>
      <w:color w:val="808080"/>
      <w:sz w:val="28"/>
    </w:rPr>
  </w:style>
  <w:style w:type="paragraph" w:styleId="ListBullet2">
    <w:name w:val="List Bullet 2"/>
    <w:basedOn w:val="Normal"/>
    <w:uiPriority w:val="99"/>
    <w:rsid w:val="00914CD2"/>
    <w:pPr>
      <w:numPr>
        <w:numId w:val="6"/>
      </w:numPr>
      <w:tabs>
        <w:tab w:val="clear" w:pos="360"/>
        <w:tab w:val="num" w:pos="786"/>
        <w:tab w:val="left" w:pos="851"/>
      </w:tabs>
      <w:suppressAutoHyphens/>
      <w:spacing w:line="280" w:lineRule="exact"/>
      <w:ind w:left="792"/>
      <w:jc w:val="left"/>
    </w:pPr>
    <w:rPr>
      <w:rFonts w:ascii="Arial" w:hAnsi="Arial"/>
      <w:sz w:val="20"/>
    </w:rPr>
  </w:style>
  <w:style w:type="paragraph" w:customStyle="1" w:styleId="Figure">
    <w:name w:val="Figure"/>
    <w:basedOn w:val="Normal"/>
    <w:next w:val="Caption"/>
    <w:uiPriority w:val="99"/>
    <w:rsid w:val="00914CD2"/>
    <w:pPr>
      <w:keepNext/>
      <w:keepLines/>
      <w:suppressAutoHyphens/>
      <w:ind w:left="0"/>
    </w:pPr>
    <w:rPr>
      <w:b/>
      <w:sz w:val="22"/>
    </w:rPr>
  </w:style>
  <w:style w:type="paragraph" w:styleId="Caption">
    <w:name w:val="caption"/>
    <w:basedOn w:val="Normal"/>
    <w:next w:val="BodyText"/>
    <w:uiPriority w:val="99"/>
    <w:qFormat/>
    <w:rsid w:val="00914CD2"/>
    <w:pPr>
      <w:keepNext/>
      <w:keepLines/>
      <w:suppressAutoHyphens/>
      <w:spacing w:line="280" w:lineRule="exact"/>
      <w:ind w:left="0"/>
    </w:pPr>
    <w:rPr>
      <w:rFonts w:ascii="Arial Bold" w:hAnsi="Arial Bold"/>
      <w:b/>
      <w:sz w:val="18"/>
    </w:rPr>
  </w:style>
  <w:style w:type="paragraph" w:customStyle="1" w:styleId="TableHeading">
    <w:name w:val="Table Heading"/>
    <w:basedOn w:val="Normal"/>
    <w:next w:val="TableText"/>
    <w:uiPriority w:val="99"/>
    <w:rsid w:val="00914CD2"/>
    <w:pPr>
      <w:keepNext/>
      <w:suppressAutoHyphens/>
      <w:ind w:left="0"/>
      <w:jc w:val="center"/>
    </w:pPr>
    <w:rPr>
      <w:rFonts w:ascii="Arial Bold" w:hAnsi="Arial Bold"/>
      <w:b/>
      <w:sz w:val="16"/>
    </w:rPr>
  </w:style>
  <w:style w:type="paragraph" w:customStyle="1" w:styleId="TableText">
    <w:name w:val="Table Text"/>
    <w:basedOn w:val="Normal"/>
    <w:uiPriority w:val="99"/>
    <w:rsid w:val="00914CD2"/>
    <w:pPr>
      <w:keepLines/>
      <w:suppressAutoHyphens/>
      <w:ind w:left="0"/>
      <w:jc w:val="left"/>
    </w:pPr>
    <w:rPr>
      <w:rFonts w:ascii="Arial" w:hAnsi="Arial"/>
      <w:sz w:val="16"/>
      <w:lang w:val="en-NZ"/>
    </w:rPr>
  </w:style>
  <w:style w:type="paragraph" w:styleId="ListBullet">
    <w:name w:val="List Bullet"/>
    <w:basedOn w:val="Normal"/>
    <w:uiPriority w:val="99"/>
    <w:rsid w:val="00914CD2"/>
    <w:pPr>
      <w:numPr>
        <w:numId w:val="4"/>
      </w:numPr>
      <w:tabs>
        <w:tab w:val="clear" w:pos="360"/>
      </w:tabs>
      <w:suppressAutoHyphens/>
      <w:spacing w:line="280" w:lineRule="exact"/>
      <w:ind w:left="432" w:hanging="432"/>
      <w:jc w:val="left"/>
    </w:pPr>
    <w:rPr>
      <w:rFonts w:ascii="Arial" w:hAnsi="Arial"/>
      <w:sz w:val="20"/>
    </w:rPr>
  </w:style>
  <w:style w:type="paragraph" w:customStyle="1" w:styleId="Appendix1">
    <w:name w:val="Appendix 1"/>
    <w:basedOn w:val="Normal"/>
    <w:next w:val="BodyText"/>
    <w:uiPriority w:val="99"/>
    <w:rsid w:val="00914CD2"/>
    <w:pPr>
      <w:keepNext/>
      <w:keepLines/>
      <w:suppressLineNumbers/>
      <w:suppressAutoHyphens/>
      <w:spacing w:before="360" w:after="240"/>
      <w:ind w:left="1422" w:hanging="432"/>
      <w:jc w:val="left"/>
    </w:pPr>
    <w:rPr>
      <w:rFonts w:ascii="Arial Bold" w:hAnsi="Arial Bold"/>
      <w:b/>
      <w:caps/>
      <w:color w:val="808080"/>
      <w:sz w:val="28"/>
      <w:u w:color="568A9E"/>
    </w:rPr>
  </w:style>
  <w:style w:type="paragraph" w:customStyle="1" w:styleId="Appendix2">
    <w:name w:val="Appendix 2"/>
    <w:basedOn w:val="Normal"/>
    <w:next w:val="BodyText"/>
    <w:uiPriority w:val="99"/>
    <w:rsid w:val="00914CD2"/>
    <w:pPr>
      <w:keepNext/>
      <w:keepLines/>
      <w:suppressLineNumbers/>
      <w:tabs>
        <w:tab w:val="num" w:pos="-144"/>
      </w:tabs>
      <w:suppressAutoHyphens/>
      <w:spacing w:before="240"/>
      <w:ind w:left="-144" w:hanging="576"/>
      <w:jc w:val="left"/>
    </w:pPr>
    <w:rPr>
      <w:rFonts w:ascii="Arial Bold" w:hAnsi="Arial Bold"/>
      <w:b/>
      <w:smallCaps/>
      <w:color w:val="808080"/>
    </w:rPr>
  </w:style>
  <w:style w:type="paragraph" w:customStyle="1" w:styleId="Appendix3">
    <w:name w:val="Appendix 3"/>
    <w:basedOn w:val="Normal"/>
    <w:next w:val="BodyText"/>
    <w:uiPriority w:val="99"/>
    <w:rsid w:val="00914CD2"/>
    <w:pPr>
      <w:keepNext/>
      <w:keepLines/>
      <w:suppressLineNumbers/>
      <w:tabs>
        <w:tab w:val="num" w:pos="0"/>
      </w:tabs>
      <w:suppressAutoHyphens/>
      <w:spacing w:before="240"/>
      <w:ind w:left="0" w:hanging="720"/>
      <w:jc w:val="left"/>
    </w:pPr>
    <w:rPr>
      <w:rFonts w:ascii="Arial Bold" w:hAnsi="Arial Bold"/>
      <w:b/>
      <w:color w:val="808080"/>
      <w:sz w:val="22"/>
    </w:rPr>
  </w:style>
  <w:style w:type="paragraph" w:customStyle="1" w:styleId="Appendix4">
    <w:name w:val="Appendix 4"/>
    <w:basedOn w:val="Normal"/>
    <w:next w:val="BodyText"/>
    <w:uiPriority w:val="99"/>
    <w:rsid w:val="00914CD2"/>
    <w:pPr>
      <w:keepNext/>
      <w:keepLines/>
      <w:suppressLineNumbers/>
      <w:suppressAutoHyphens/>
      <w:spacing w:before="200"/>
      <w:ind w:left="144" w:hanging="864"/>
      <w:jc w:val="left"/>
    </w:pPr>
    <w:rPr>
      <w:rFonts w:ascii="Arial Bold" w:hAnsi="Arial Bold"/>
      <w:b/>
      <w:i/>
      <w:color w:val="808080"/>
      <w:sz w:val="20"/>
    </w:rPr>
  </w:style>
  <w:style w:type="paragraph" w:customStyle="1" w:styleId="CVTitle">
    <w:name w:val="CVTitle"/>
    <w:basedOn w:val="Normal"/>
    <w:uiPriority w:val="99"/>
    <w:rsid w:val="00914CD2"/>
    <w:pPr>
      <w:suppressAutoHyphens/>
      <w:spacing w:before="240" w:after="240"/>
      <w:ind w:left="0"/>
      <w:jc w:val="left"/>
    </w:pPr>
    <w:rPr>
      <w:rFonts w:ascii="Arial" w:hAnsi="Arial"/>
      <w:b/>
      <w:caps/>
      <w:color w:val="808080"/>
      <w:sz w:val="32"/>
    </w:rPr>
  </w:style>
  <w:style w:type="paragraph" w:customStyle="1" w:styleId="Titlepagebodytext">
    <w:name w:val="Titlepagebodytext"/>
    <w:basedOn w:val="BodyText"/>
    <w:uiPriority w:val="99"/>
    <w:rsid w:val="00914CD2"/>
    <w:pPr>
      <w:spacing w:before="0" w:after="0"/>
      <w:ind w:left="885" w:right="-357"/>
    </w:pPr>
    <w:rPr>
      <w:color w:val="FFFFFF"/>
    </w:rPr>
  </w:style>
  <w:style w:type="paragraph" w:customStyle="1" w:styleId="CVHeading2">
    <w:name w:val="CVHeading2"/>
    <w:basedOn w:val="Normal"/>
    <w:uiPriority w:val="99"/>
    <w:rsid w:val="00914CD2"/>
    <w:pPr>
      <w:keepNext/>
      <w:suppressAutoHyphens/>
      <w:spacing w:before="240"/>
      <w:ind w:left="0"/>
      <w:jc w:val="left"/>
      <w:outlineLvl w:val="0"/>
    </w:pPr>
    <w:rPr>
      <w:rFonts w:ascii="Arial" w:hAnsi="Arial"/>
      <w:b/>
      <w:color w:val="808080"/>
      <w:kern w:val="28"/>
    </w:rPr>
  </w:style>
  <w:style w:type="paragraph" w:customStyle="1" w:styleId="CVHeading3">
    <w:name w:val="CVHeading3"/>
    <w:basedOn w:val="CVHeading2"/>
    <w:uiPriority w:val="99"/>
    <w:rsid w:val="00914CD2"/>
    <w:rPr>
      <w:b w:val="0"/>
      <w:i/>
    </w:rPr>
  </w:style>
  <w:style w:type="character" w:styleId="Hyperlink">
    <w:name w:val="Hyperlink"/>
    <w:uiPriority w:val="99"/>
    <w:rsid w:val="00914CD2"/>
    <w:rPr>
      <w:rFonts w:ascii="Arial" w:hAnsi="Arial" w:cs="Times New Roman"/>
      <w:color w:val="808080"/>
      <w:sz w:val="19"/>
      <w:u w:val="single" w:color="808080"/>
    </w:rPr>
  </w:style>
  <w:style w:type="paragraph" w:customStyle="1" w:styleId="CVHeading1">
    <w:name w:val="CVHeading1"/>
    <w:basedOn w:val="Heading1"/>
    <w:uiPriority w:val="99"/>
    <w:rsid w:val="00914CD2"/>
    <w:pPr>
      <w:suppressAutoHyphens/>
      <w:ind w:left="0" w:firstLine="0"/>
    </w:pPr>
    <w:rPr>
      <w:rFonts w:cs="Helvetica"/>
      <w:caps w:val="0"/>
      <w:smallCaps/>
    </w:rPr>
  </w:style>
  <w:style w:type="character" w:styleId="FollowedHyperlink">
    <w:name w:val="FollowedHyperlink"/>
    <w:uiPriority w:val="99"/>
    <w:rsid w:val="00914CD2"/>
    <w:rPr>
      <w:rFonts w:ascii="Arial" w:hAnsi="Arial" w:cs="Times New Roman"/>
      <w:color w:val="808080"/>
      <w:sz w:val="19"/>
      <w:u w:val="single" w:color="808080"/>
    </w:rPr>
  </w:style>
  <w:style w:type="character" w:styleId="LineNumber">
    <w:name w:val="line number"/>
    <w:uiPriority w:val="99"/>
    <w:rsid w:val="00914CD2"/>
    <w:rPr>
      <w:rFonts w:ascii="Arial" w:hAnsi="Arial" w:cs="Times New Roman"/>
      <w:vanish/>
      <w:color w:val="808080"/>
      <w:sz w:val="16"/>
    </w:rPr>
  </w:style>
  <w:style w:type="paragraph" w:customStyle="1" w:styleId="Quotations">
    <w:name w:val="Quotations"/>
    <w:basedOn w:val="BodyText"/>
    <w:uiPriority w:val="99"/>
    <w:rsid w:val="00914CD2"/>
    <w:pPr>
      <w:ind w:left="720"/>
    </w:pPr>
    <w:rPr>
      <w:i/>
      <w:iCs/>
      <w:sz w:val="18"/>
    </w:rPr>
  </w:style>
  <w:style w:type="paragraph" w:customStyle="1" w:styleId="Source">
    <w:name w:val="Source"/>
    <w:basedOn w:val="BodyText"/>
    <w:uiPriority w:val="99"/>
    <w:rsid w:val="00914CD2"/>
    <w:rPr>
      <w:sz w:val="16"/>
    </w:rPr>
  </w:style>
  <w:style w:type="paragraph" w:customStyle="1" w:styleId="Disclaimer">
    <w:name w:val="Disclaimer"/>
    <w:basedOn w:val="BodyText"/>
    <w:uiPriority w:val="99"/>
    <w:rsid w:val="00914CD2"/>
    <w:rPr>
      <w:i/>
      <w:iCs/>
    </w:rPr>
  </w:style>
  <w:style w:type="paragraph" w:customStyle="1" w:styleId="BodyTextOut">
    <w:name w:val="Body Text Out"/>
    <w:basedOn w:val="BodyText"/>
    <w:uiPriority w:val="99"/>
    <w:rsid w:val="00914CD2"/>
    <w:pPr>
      <w:ind w:left="-709"/>
    </w:pPr>
  </w:style>
  <w:style w:type="paragraph" w:customStyle="1" w:styleId="TabletextR2">
    <w:name w:val="Tabletext R2"/>
    <w:basedOn w:val="Normal"/>
    <w:uiPriority w:val="99"/>
    <w:rsid w:val="00914CD2"/>
    <w:pPr>
      <w:keepNext/>
      <w:widowControl w:val="0"/>
      <w:spacing w:after="60"/>
      <w:ind w:left="252"/>
      <w:jc w:val="left"/>
    </w:pPr>
    <w:rPr>
      <w:rFonts w:ascii="Arial" w:hAnsi="Arial"/>
      <w:b/>
      <w:sz w:val="18"/>
    </w:rPr>
  </w:style>
  <w:style w:type="paragraph" w:customStyle="1" w:styleId="BoxHeading">
    <w:name w:val="Box Heading"/>
    <w:basedOn w:val="Heading4"/>
    <w:uiPriority w:val="99"/>
    <w:rsid w:val="00914CD2"/>
    <w:rPr>
      <w:i w:val="0"/>
    </w:rPr>
  </w:style>
  <w:style w:type="paragraph" w:customStyle="1" w:styleId="TabletextR3">
    <w:name w:val="Tabletext R3"/>
    <w:basedOn w:val="Normal"/>
    <w:uiPriority w:val="99"/>
    <w:rsid w:val="00914CD2"/>
    <w:pPr>
      <w:keepNext/>
      <w:widowControl w:val="0"/>
      <w:spacing w:after="60"/>
      <w:ind w:left="0"/>
      <w:jc w:val="left"/>
    </w:pPr>
    <w:rPr>
      <w:rFonts w:ascii="Arial" w:hAnsi="Arial"/>
      <w:sz w:val="18"/>
    </w:rPr>
  </w:style>
  <w:style w:type="paragraph" w:customStyle="1" w:styleId="ReportName">
    <w:name w:val="Report Name"/>
    <w:basedOn w:val="BodyText"/>
    <w:uiPriority w:val="99"/>
    <w:rsid w:val="00914CD2"/>
    <w:pPr>
      <w:suppressAutoHyphens w:val="0"/>
      <w:spacing w:before="0" w:after="240" w:line="264" w:lineRule="auto"/>
      <w:ind w:left="1440"/>
    </w:pPr>
    <w:rPr>
      <w:color w:val="808080"/>
      <w:sz w:val="52"/>
    </w:rPr>
  </w:style>
  <w:style w:type="character" w:styleId="PageNumber">
    <w:name w:val="page number"/>
    <w:uiPriority w:val="99"/>
    <w:rsid w:val="00413023"/>
    <w:rPr>
      <w:rFonts w:cs="Times New Roman"/>
    </w:rPr>
  </w:style>
  <w:style w:type="paragraph" w:customStyle="1" w:styleId="DeleteMe">
    <w:name w:val="Delete Me"/>
    <w:basedOn w:val="BodyText"/>
    <w:uiPriority w:val="99"/>
    <w:rsid w:val="00914CD2"/>
    <w:rPr>
      <w:color w:val="FF0000"/>
    </w:rPr>
  </w:style>
  <w:style w:type="table" w:styleId="TableGrid">
    <w:name w:val="Table Grid"/>
    <w:basedOn w:val="TableNormal"/>
    <w:uiPriority w:val="99"/>
    <w:rsid w:val="00914CD2"/>
    <w:pPr>
      <w:spacing w:before="120" w:after="120"/>
      <w:ind w:left="-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5B4B9D"/>
    <w:pPr>
      <w:ind w:left="0"/>
    </w:pPr>
    <w:rPr>
      <w:rFonts w:ascii="Arial" w:hAnsi="Arial"/>
      <w:sz w:val="20"/>
    </w:rPr>
  </w:style>
  <w:style w:type="character" w:customStyle="1" w:styleId="ChapterLevelCharChar">
    <w:name w:val="Chapter Level Char Char"/>
    <w:uiPriority w:val="99"/>
    <w:locked/>
    <w:rsid w:val="00D24EAD"/>
    <w:rPr>
      <w:rFonts w:ascii="Cambria" w:hAnsi="Cambria" w:cs="Times New Roman"/>
      <w:b/>
      <w:bCs/>
      <w:kern w:val="32"/>
      <w:sz w:val="32"/>
      <w:szCs w:val="32"/>
    </w:rPr>
  </w:style>
  <w:style w:type="character" w:customStyle="1" w:styleId="BodyTextChar1">
    <w:name w:val="Body Text Char1"/>
    <w:uiPriority w:val="99"/>
    <w:rsid w:val="00D24EAD"/>
    <w:rPr>
      <w:rFonts w:ascii="Arial" w:hAnsi="Arial" w:cs="Times New Roman"/>
      <w:lang w:val="en-US" w:eastAsia="en-US" w:bidi="ar-SA"/>
    </w:rPr>
  </w:style>
  <w:style w:type="paragraph" w:customStyle="1" w:styleId="StyleHeading1NotAllcaps">
    <w:name w:val="Style Heading 1 + Not All caps"/>
    <w:basedOn w:val="Heading1"/>
    <w:uiPriority w:val="99"/>
    <w:rsid w:val="00E70621"/>
    <w:pPr>
      <w:ind w:left="-14" w:hanging="706"/>
    </w:pPr>
    <w:rPr>
      <w:bCs/>
      <w:caps w:val="0"/>
    </w:rPr>
  </w:style>
  <w:style w:type="table" w:styleId="TableGrid8">
    <w:name w:val="Table Grid 8"/>
    <w:basedOn w:val="TableNormal"/>
    <w:uiPriority w:val="99"/>
    <w:rsid w:val="001B1D10"/>
    <w:pPr>
      <w:spacing w:before="120" w:after="120"/>
      <w:ind w:left="-7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styleId="CommentReference">
    <w:name w:val="annotation reference"/>
    <w:uiPriority w:val="99"/>
    <w:semiHidden/>
    <w:rsid w:val="00514D65"/>
    <w:rPr>
      <w:rFonts w:cs="Times New Roman"/>
      <w:sz w:val="16"/>
      <w:szCs w:val="16"/>
    </w:rPr>
  </w:style>
  <w:style w:type="paragraph" w:styleId="CommentText">
    <w:name w:val="annotation text"/>
    <w:basedOn w:val="Normal"/>
    <w:link w:val="CommentTextChar"/>
    <w:uiPriority w:val="99"/>
    <w:semiHidden/>
    <w:rsid w:val="00514D65"/>
    <w:rPr>
      <w:sz w:val="20"/>
    </w:rPr>
  </w:style>
  <w:style w:type="character" w:customStyle="1" w:styleId="CommentTextChar">
    <w:name w:val="Comment Text Char"/>
    <w:link w:val="CommentText"/>
    <w:uiPriority w:val="99"/>
    <w:semiHidden/>
    <w:locked/>
    <w:rsid w:val="0057256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514D65"/>
    <w:rPr>
      <w:b/>
      <w:bCs/>
    </w:rPr>
  </w:style>
  <w:style w:type="character" w:customStyle="1" w:styleId="CommentSubjectChar">
    <w:name w:val="Comment Subject Char"/>
    <w:link w:val="CommentSubject"/>
    <w:uiPriority w:val="99"/>
    <w:semiHidden/>
    <w:locked/>
    <w:rsid w:val="0057256E"/>
    <w:rPr>
      <w:rFonts w:ascii="Times New Roman" w:hAnsi="Times New Roman" w:cs="Times New Roman"/>
      <w:b/>
      <w:bCs/>
      <w:sz w:val="20"/>
      <w:szCs w:val="20"/>
    </w:rPr>
  </w:style>
  <w:style w:type="paragraph" w:styleId="ListParagraph">
    <w:name w:val="List Paragraph"/>
    <w:basedOn w:val="Normal"/>
    <w:uiPriority w:val="34"/>
    <w:qFormat/>
    <w:rsid w:val="00EE37BB"/>
    <w:pPr>
      <w:ind w:left="720"/>
      <w:contextualSpacing/>
    </w:pPr>
  </w:style>
  <w:style w:type="paragraph" w:styleId="Revision">
    <w:name w:val="Revision"/>
    <w:hidden/>
    <w:uiPriority w:val="99"/>
    <w:semiHidden/>
    <w:rsid w:val="00C13F0F"/>
    <w:rPr>
      <w:rFonts w:ascii="Times New Roman" w:hAnsi="Times New Roman"/>
      <w:sz w:val="24"/>
    </w:rPr>
  </w:style>
  <w:style w:type="paragraph" w:styleId="NormalWeb">
    <w:name w:val="Normal (Web)"/>
    <w:basedOn w:val="Normal"/>
    <w:uiPriority w:val="99"/>
    <w:rsid w:val="00006058"/>
    <w:pPr>
      <w:spacing w:before="100" w:beforeAutospacing="1" w:after="100" w:afterAutospacing="1"/>
      <w:ind w:left="0"/>
      <w:jc w:val="left"/>
    </w:pPr>
    <w:rPr>
      <w:szCs w:val="24"/>
    </w:rPr>
  </w:style>
  <w:style w:type="character" w:customStyle="1" w:styleId="ft">
    <w:name w:val="ft"/>
    <w:basedOn w:val="DefaultParagraphFont"/>
    <w:rsid w:val="009A3B9F"/>
  </w:style>
  <w:style w:type="paragraph" w:customStyle="1" w:styleId="Default">
    <w:name w:val="Default"/>
    <w:rsid w:val="001636E1"/>
    <w:pPr>
      <w:autoSpaceDE w:val="0"/>
      <w:autoSpaceDN w:val="0"/>
      <w:adjustRightInd w:val="0"/>
    </w:pPr>
    <w:rPr>
      <w:rFonts w:ascii="Arial" w:hAnsi="Arial" w:cs="Arial"/>
      <w:color w:val="000000"/>
      <w:sz w:val="24"/>
      <w:szCs w:val="24"/>
    </w:rPr>
  </w:style>
  <w:style w:type="table" w:customStyle="1" w:styleId="MediumShading2-Accent11">
    <w:name w:val="Medium Shading 2 - Accent 11"/>
    <w:basedOn w:val="TableNormal"/>
    <w:uiPriority w:val="64"/>
    <w:rsid w:val="00E8308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TableNormal"/>
    <w:uiPriority w:val="61"/>
    <w:rsid w:val="00E8308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3-Accent1">
    <w:name w:val="Medium Grid 3 Accent 1"/>
    <w:basedOn w:val="TableNormal"/>
    <w:uiPriority w:val="69"/>
    <w:rsid w:val="00E8308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lsdException w:name="toc 5" w:semiHidden="0"/>
    <w:lsdException w:name="toc 6" w:semiHidden="0"/>
    <w:lsdException w:name="toc 7" w:semiHidden="0"/>
    <w:lsdException w:name="toc 8" w:semiHidden="0"/>
    <w:lsdException w:name="toc 9" w:semiHidden="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4CD2"/>
    <w:pPr>
      <w:spacing w:before="120" w:after="120"/>
      <w:ind w:left="-720"/>
      <w:jc w:val="both"/>
    </w:pPr>
    <w:rPr>
      <w:rFonts w:ascii="Times New Roman" w:hAnsi="Times New Roman"/>
      <w:sz w:val="24"/>
    </w:rPr>
  </w:style>
  <w:style w:type="paragraph" w:styleId="Heading1">
    <w:name w:val="heading 1"/>
    <w:basedOn w:val="Normal"/>
    <w:next w:val="BodyText"/>
    <w:link w:val="Heading1Char"/>
    <w:uiPriority w:val="99"/>
    <w:qFormat/>
    <w:rsid w:val="00A07FCB"/>
    <w:pPr>
      <w:keepNext/>
      <w:suppressLineNumbers/>
      <w:spacing w:before="360" w:after="240"/>
      <w:ind w:left="720" w:hanging="708"/>
      <w:jc w:val="left"/>
      <w:outlineLvl w:val="0"/>
    </w:pPr>
    <w:rPr>
      <w:rFonts w:ascii="Arial Bold" w:hAnsi="Arial Bold"/>
      <w:b/>
      <w:caps/>
      <w:color w:val="808080"/>
      <w:kern w:val="28"/>
      <w:sz w:val="28"/>
      <w:u w:color="568A9E"/>
    </w:rPr>
  </w:style>
  <w:style w:type="paragraph" w:styleId="Heading2">
    <w:name w:val="heading 2"/>
    <w:basedOn w:val="Normal"/>
    <w:next w:val="BodyText"/>
    <w:link w:val="Heading2Char"/>
    <w:uiPriority w:val="99"/>
    <w:qFormat/>
    <w:rsid w:val="00914CD2"/>
    <w:pPr>
      <w:keepNext/>
      <w:suppressLineNumbers/>
      <w:tabs>
        <w:tab w:val="num" w:pos="360"/>
      </w:tabs>
      <w:spacing w:before="240"/>
      <w:ind w:left="360" w:hanging="360"/>
      <w:jc w:val="left"/>
      <w:outlineLvl w:val="1"/>
    </w:pPr>
    <w:rPr>
      <w:rFonts w:ascii="Arial Bold" w:hAnsi="Arial Bold"/>
      <w:b/>
      <w:smallCaps/>
      <w:color w:val="808080"/>
    </w:rPr>
  </w:style>
  <w:style w:type="paragraph" w:styleId="Heading3">
    <w:name w:val="heading 3"/>
    <w:basedOn w:val="Normal"/>
    <w:next w:val="BodyText"/>
    <w:link w:val="Heading3Char"/>
    <w:uiPriority w:val="99"/>
    <w:qFormat/>
    <w:rsid w:val="00914CD2"/>
    <w:pPr>
      <w:keepNext/>
      <w:suppressLineNumbers/>
      <w:tabs>
        <w:tab w:val="num" w:pos="0"/>
      </w:tabs>
      <w:spacing w:before="240"/>
      <w:ind w:left="0" w:hanging="720"/>
      <w:jc w:val="left"/>
      <w:outlineLvl w:val="2"/>
    </w:pPr>
    <w:rPr>
      <w:rFonts w:ascii="Arial Bold" w:hAnsi="Arial Bold"/>
      <w:b/>
      <w:color w:val="808080"/>
      <w:sz w:val="22"/>
    </w:rPr>
  </w:style>
  <w:style w:type="paragraph" w:styleId="Heading4">
    <w:name w:val="heading 4"/>
    <w:basedOn w:val="Normal"/>
    <w:next w:val="BodyText"/>
    <w:link w:val="Heading4Char"/>
    <w:uiPriority w:val="99"/>
    <w:qFormat/>
    <w:rsid w:val="00914CD2"/>
    <w:pPr>
      <w:keepNext/>
      <w:suppressLineNumbers/>
      <w:suppressAutoHyphens/>
      <w:spacing w:before="200"/>
      <w:ind w:left="0"/>
      <w:jc w:val="left"/>
      <w:outlineLvl w:val="3"/>
    </w:pPr>
    <w:rPr>
      <w:rFonts w:ascii="Arial Bold" w:hAnsi="Arial Bold"/>
      <w:b/>
      <w:i/>
      <w:color w:val="808080"/>
      <w:sz w:val="20"/>
    </w:rPr>
  </w:style>
  <w:style w:type="paragraph" w:styleId="Heading5">
    <w:name w:val="heading 5"/>
    <w:basedOn w:val="Normal"/>
    <w:next w:val="Normal"/>
    <w:link w:val="Heading5Char"/>
    <w:uiPriority w:val="99"/>
    <w:qFormat/>
    <w:rsid w:val="00914CD2"/>
    <w:pPr>
      <w:ind w:left="3540" w:hanging="708"/>
      <w:outlineLvl w:val="4"/>
    </w:pPr>
    <w:rPr>
      <w:b/>
      <w:sz w:val="20"/>
    </w:rPr>
  </w:style>
  <w:style w:type="paragraph" w:styleId="Heading6">
    <w:name w:val="heading 6"/>
    <w:basedOn w:val="Normal"/>
    <w:next w:val="Normal"/>
    <w:link w:val="Heading6Char"/>
    <w:uiPriority w:val="99"/>
    <w:qFormat/>
    <w:rsid w:val="00914CD2"/>
    <w:pPr>
      <w:ind w:left="4248" w:hanging="708"/>
      <w:outlineLvl w:val="5"/>
    </w:pPr>
    <w:rPr>
      <w:sz w:val="20"/>
      <w:u w:val="single"/>
    </w:rPr>
  </w:style>
  <w:style w:type="paragraph" w:styleId="Heading7">
    <w:name w:val="heading 7"/>
    <w:basedOn w:val="Normal"/>
    <w:next w:val="Normal"/>
    <w:link w:val="Heading7Char"/>
    <w:uiPriority w:val="99"/>
    <w:qFormat/>
    <w:rsid w:val="00914CD2"/>
    <w:pPr>
      <w:spacing w:before="240" w:after="60"/>
      <w:ind w:left="4956" w:hanging="708"/>
      <w:outlineLvl w:val="6"/>
    </w:pPr>
    <w:rPr>
      <w:rFonts w:ascii="Arial" w:hAnsi="Arial"/>
      <w:sz w:val="20"/>
    </w:rPr>
  </w:style>
  <w:style w:type="paragraph" w:styleId="Heading8">
    <w:name w:val="heading 8"/>
    <w:basedOn w:val="Normal"/>
    <w:next w:val="Normal"/>
    <w:link w:val="Heading8Char"/>
    <w:uiPriority w:val="99"/>
    <w:qFormat/>
    <w:rsid w:val="00914CD2"/>
    <w:pPr>
      <w:spacing w:before="240" w:after="60"/>
      <w:ind w:left="5664" w:hanging="708"/>
      <w:outlineLvl w:val="7"/>
    </w:pPr>
    <w:rPr>
      <w:rFonts w:ascii="Arial" w:hAnsi="Arial"/>
      <w:i/>
      <w:sz w:val="20"/>
    </w:rPr>
  </w:style>
  <w:style w:type="paragraph" w:styleId="Heading9">
    <w:name w:val="heading 9"/>
    <w:basedOn w:val="Normal"/>
    <w:next w:val="Normal"/>
    <w:link w:val="Heading9Char"/>
    <w:uiPriority w:val="99"/>
    <w:qFormat/>
    <w:rsid w:val="00914CD2"/>
    <w:pPr>
      <w:spacing w:before="240" w:after="60"/>
      <w:ind w:left="6372"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07FCB"/>
    <w:rPr>
      <w:rFonts w:ascii="Arial Bold" w:hAnsi="Arial Bold"/>
      <w:b/>
      <w:caps/>
      <w:color w:val="808080"/>
      <w:kern w:val="28"/>
      <w:sz w:val="28"/>
      <w:szCs w:val="20"/>
      <w:u w:color="568A9E"/>
    </w:rPr>
  </w:style>
  <w:style w:type="character" w:customStyle="1" w:styleId="Heading2Char">
    <w:name w:val="Heading 2 Char"/>
    <w:link w:val="Heading2"/>
    <w:uiPriority w:val="99"/>
    <w:locked/>
    <w:rsid w:val="0057256E"/>
    <w:rPr>
      <w:rFonts w:ascii="Arial Bold" w:hAnsi="Arial Bold" w:cs="Times New Roman"/>
      <w:b/>
      <w:smallCaps/>
      <w:color w:val="808080"/>
      <w:sz w:val="20"/>
      <w:szCs w:val="20"/>
    </w:rPr>
  </w:style>
  <w:style w:type="character" w:customStyle="1" w:styleId="Heading3Char">
    <w:name w:val="Heading 3 Char"/>
    <w:link w:val="Heading3"/>
    <w:uiPriority w:val="99"/>
    <w:locked/>
    <w:rsid w:val="0057256E"/>
    <w:rPr>
      <w:rFonts w:ascii="Arial Bold" w:hAnsi="Arial Bold" w:cs="Times New Roman"/>
      <w:b/>
      <w:color w:val="808080"/>
      <w:sz w:val="20"/>
      <w:szCs w:val="20"/>
    </w:rPr>
  </w:style>
  <w:style w:type="character" w:customStyle="1" w:styleId="Heading4Char">
    <w:name w:val="Heading 4 Char"/>
    <w:link w:val="Heading4"/>
    <w:uiPriority w:val="99"/>
    <w:locked/>
    <w:rsid w:val="0057256E"/>
    <w:rPr>
      <w:rFonts w:ascii="Calibri" w:hAnsi="Calibri" w:cs="Times New Roman"/>
      <w:b/>
      <w:bCs/>
      <w:sz w:val="28"/>
      <w:szCs w:val="28"/>
    </w:rPr>
  </w:style>
  <w:style w:type="character" w:customStyle="1" w:styleId="Heading5Char">
    <w:name w:val="Heading 5 Char"/>
    <w:link w:val="Heading5"/>
    <w:uiPriority w:val="99"/>
    <w:locked/>
    <w:rsid w:val="0057256E"/>
    <w:rPr>
      <w:rFonts w:ascii="Times New Roman" w:hAnsi="Times New Roman" w:cs="Times New Roman"/>
      <w:b/>
      <w:sz w:val="20"/>
      <w:szCs w:val="20"/>
    </w:rPr>
  </w:style>
  <w:style w:type="character" w:customStyle="1" w:styleId="Heading6Char">
    <w:name w:val="Heading 6 Char"/>
    <w:link w:val="Heading6"/>
    <w:uiPriority w:val="99"/>
    <w:locked/>
    <w:rsid w:val="0057256E"/>
    <w:rPr>
      <w:rFonts w:ascii="Times New Roman" w:hAnsi="Times New Roman" w:cs="Times New Roman"/>
      <w:sz w:val="20"/>
      <w:szCs w:val="20"/>
      <w:u w:val="single"/>
    </w:rPr>
  </w:style>
  <w:style w:type="character" w:customStyle="1" w:styleId="Heading7Char">
    <w:name w:val="Heading 7 Char"/>
    <w:link w:val="Heading7"/>
    <w:uiPriority w:val="99"/>
    <w:locked/>
    <w:rsid w:val="0057256E"/>
    <w:rPr>
      <w:rFonts w:ascii="Arial" w:hAnsi="Arial" w:cs="Times New Roman"/>
      <w:sz w:val="20"/>
      <w:szCs w:val="20"/>
    </w:rPr>
  </w:style>
  <w:style w:type="character" w:customStyle="1" w:styleId="Heading8Char">
    <w:name w:val="Heading 8 Char"/>
    <w:link w:val="Heading8"/>
    <w:uiPriority w:val="99"/>
    <w:locked/>
    <w:rsid w:val="0057256E"/>
    <w:rPr>
      <w:rFonts w:ascii="Arial" w:hAnsi="Arial" w:cs="Times New Roman"/>
      <w:i/>
      <w:sz w:val="20"/>
      <w:szCs w:val="20"/>
    </w:rPr>
  </w:style>
  <w:style w:type="character" w:customStyle="1" w:styleId="Heading9Char">
    <w:name w:val="Heading 9 Char"/>
    <w:link w:val="Heading9"/>
    <w:uiPriority w:val="99"/>
    <w:locked/>
    <w:rsid w:val="0057256E"/>
    <w:rPr>
      <w:rFonts w:ascii="Arial" w:hAnsi="Arial" w:cs="Times New Roman"/>
      <w:i/>
      <w:sz w:val="20"/>
      <w:szCs w:val="20"/>
    </w:rPr>
  </w:style>
  <w:style w:type="paragraph" w:styleId="BalloonText">
    <w:name w:val="Balloon Text"/>
    <w:basedOn w:val="Normal"/>
    <w:link w:val="BalloonTextChar"/>
    <w:uiPriority w:val="99"/>
    <w:semiHidden/>
    <w:rsid w:val="003E2F71"/>
    <w:rPr>
      <w:rFonts w:ascii="Tahoma" w:hAnsi="Tahoma" w:cs="Tahoma"/>
      <w:sz w:val="16"/>
      <w:szCs w:val="16"/>
    </w:rPr>
  </w:style>
  <w:style w:type="character" w:customStyle="1" w:styleId="BalloonTextChar">
    <w:name w:val="Balloon Text Char"/>
    <w:link w:val="BalloonText"/>
    <w:uiPriority w:val="99"/>
    <w:semiHidden/>
    <w:locked/>
    <w:rsid w:val="0057256E"/>
    <w:rPr>
      <w:rFonts w:ascii="Times New Roman" w:hAnsi="Times New Roman" w:cs="Times New Roman"/>
      <w:sz w:val="2"/>
    </w:rPr>
  </w:style>
  <w:style w:type="paragraph" w:styleId="BodyText">
    <w:name w:val="Body Text"/>
    <w:basedOn w:val="Normal"/>
    <w:link w:val="BodyTextChar"/>
    <w:uiPriority w:val="99"/>
    <w:rsid w:val="00914CD2"/>
    <w:pPr>
      <w:suppressAutoHyphens/>
      <w:spacing w:line="280" w:lineRule="exact"/>
      <w:ind w:left="0"/>
      <w:jc w:val="left"/>
    </w:pPr>
    <w:rPr>
      <w:rFonts w:ascii="Arial" w:hAnsi="Arial"/>
      <w:sz w:val="20"/>
    </w:rPr>
  </w:style>
  <w:style w:type="character" w:customStyle="1" w:styleId="BodyTextChar">
    <w:name w:val="Body Text Char"/>
    <w:link w:val="BodyText"/>
    <w:uiPriority w:val="99"/>
    <w:locked/>
    <w:rsid w:val="00252549"/>
    <w:rPr>
      <w:rFonts w:ascii="Arial" w:hAnsi="Arial" w:cs="Times New Roman"/>
      <w:lang w:val="en-US" w:eastAsia="en-US" w:bidi="ar-SA"/>
    </w:rPr>
  </w:style>
  <w:style w:type="paragraph" w:styleId="Title">
    <w:name w:val="Title"/>
    <w:basedOn w:val="Normal"/>
    <w:link w:val="TitleChar"/>
    <w:uiPriority w:val="99"/>
    <w:qFormat/>
    <w:rsid w:val="00914CD2"/>
    <w:pPr>
      <w:widowControl w:val="0"/>
      <w:suppressAutoHyphens/>
      <w:spacing w:before="0" w:after="280"/>
      <w:ind w:left="431" w:right="-357"/>
      <w:jc w:val="left"/>
    </w:pPr>
    <w:rPr>
      <w:rFonts w:ascii="Arial Bold" w:hAnsi="Arial Bold"/>
      <w:b/>
      <w:color w:val="FFFFFF"/>
      <w:sz w:val="40"/>
      <w:lang w:val="en-AU"/>
    </w:rPr>
  </w:style>
  <w:style w:type="character" w:customStyle="1" w:styleId="TitleChar">
    <w:name w:val="Title Char"/>
    <w:link w:val="Title"/>
    <w:uiPriority w:val="99"/>
    <w:locked/>
    <w:rsid w:val="0057256E"/>
    <w:rPr>
      <w:rFonts w:ascii="Cambria" w:hAnsi="Cambria" w:cs="Times New Roman"/>
      <w:b/>
      <w:bCs/>
      <w:kern w:val="28"/>
      <w:sz w:val="32"/>
      <w:szCs w:val="32"/>
    </w:rPr>
  </w:style>
  <w:style w:type="paragraph" w:styleId="TOC2">
    <w:name w:val="toc 2"/>
    <w:basedOn w:val="Normal"/>
    <w:next w:val="Normal"/>
    <w:uiPriority w:val="39"/>
    <w:rsid w:val="00914CD2"/>
    <w:pPr>
      <w:tabs>
        <w:tab w:val="left" w:pos="425"/>
        <w:tab w:val="right" w:leader="dot" w:pos="8222"/>
      </w:tabs>
      <w:spacing w:after="0"/>
      <w:ind w:left="425" w:hanging="714"/>
      <w:jc w:val="left"/>
    </w:pPr>
    <w:rPr>
      <w:rFonts w:ascii="Arial" w:hAnsi="Arial"/>
      <w:smallCaps/>
      <w:noProof/>
      <w:sz w:val="20"/>
    </w:rPr>
  </w:style>
  <w:style w:type="paragraph" w:styleId="TOC1">
    <w:name w:val="toc 1"/>
    <w:basedOn w:val="Normal"/>
    <w:next w:val="Normal"/>
    <w:uiPriority w:val="39"/>
    <w:rsid w:val="00914CD2"/>
    <w:pPr>
      <w:tabs>
        <w:tab w:val="left" w:pos="-144"/>
        <w:tab w:val="right" w:leader="dot" w:pos="8222"/>
      </w:tabs>
      <w:spacing w:before="360"/>
      <w:ind w:left="-288" w:hanging="432"/>
      <w:jc w:val="left"/>
    </w:pPr>
    <w:rPr>
      <w:rFonts w:ascii="Arial" w:hAnsi="Arial"/>
      <w:caps/>
      <w:noProof/>
      <w:color w:val="808080"/>
      <w:sz w:val="22"/>
    </w:rPr>
  </w:style>
  <w:style w:type="paragraph" w:styleId="Footer">
    <w:name w:val="footer"/>
    <w:basedOn w:val="Normal"/>
    <w:link w:val="FooterChar"/>
    <w:uiPriority w:val="99"/>
    <w:rsid w:val="00006410"/>
    <w:pPr>
      <w:pBdr>
        <w:top w:val="single" w:sz="6" w:space="1" w:color="808080"/>
      </w:pBdr>
      <w:tabs>
        <w:tab w:val="center" w:pos="3686"/>
        <w:tab w:val="right" w:pos="8280"/>
      </w:tabs>
    </w:pPr>
    <w:rPr>
      <w:rFonts w:ascii="Arial" w:hAnsi="Arial"/>
      <w:sz w:val="18"/>
    </w:rPr>
  </w:style>
  <w:style w:type="character" w:customStyle="1" w:styleId="FooterChar">
    <w:name w:val="Footer Char"/>
    <w:link w:val="Footer"/>
    <w:uiPriority w:val="99"/>
    <w:semiHidden/>
    <w:locked/>
    <w:rsid w:val="0057256E"/>
    <w:rPr>
      <w:rFonts w:ascii="Times New Roman" w:hAnsi="Times New Roman" w:cs="Times New Roman"/>
      <w:sz w:val="20"/>
      <w:szCs w:val="20"/>
    </w:rPr>
  </w:style>
  <w:style w:type="paragraph" w:styleId="Header">
    <w:name w:val="header"/>
    <w:basedOn w:val="Normal"/>
    <w:link w:val="HeaderChar"/>
    <w:uiPriority w:val="99"/>
    <w:rsid w:val="00220E70"/>
    <w:pPr>
      <w:tabs>
        <w:tab w:val="right" w:pos="7938"/>
        <w:tab w:val="right" w:pos="13860"/>
      </w:tabs>
      <w:spacing w:before="0" w:after="0"/>
    </w:pPr>
    <w:rPr>
      <w:rFonts w:ascii="Arial" w:hAnsi="Arial"/>
      <w:sz w:val="20"/>
    </w:rPr>
  </w:style>
  <w:style w:type="character" w:customStyle="1" w:styleId="HeaderChar">
    <w:name w:val="Header Char"/>
    <w:link w:val="Header"/>
    <w:uiPriority w:val="99"/>
    <w:semiHidden/>
    <w:locked/>
    <w:rsid w:val="0057256E"/>
    <w:rPr>
      <w:rFonts w:ascii="Times New Roman" w:hAnsi="Times New Roman" w:cs="Times New Roman"/>
      <w:sz w:val="20"/>
      <w:szCs w:val="20"/>
    </w:rPr>
  </w:style>
  <w:style w:type="character" w:styleId="FootnoteReference">
    <w:name w:val="footnote reference"/>
    <w:uiPriority w:val="99"/>
    <w:semiHidden/>
    <w:rsid w:val="00914CD2"/>
    <w:rPr>
      <w:rFonts w:cs="Times New Roman"/>
      <w:position w:val="6"/>
      <w:sz w:val="16"/>
    </w:rPr>
  </w:style>
  <w:style w:type="paragraph" w:styleId="FootnoteText">
    <w:name w:val="footnote text"/>
    <w:basedOn w:val="Normal"/>
    <w:link w:val="FootnoteTextChar"/>
    <w:uiPriority w:val="99"/>
    <w:semiHidden/>
    <w:rsid w:val="00914CD2"/>
    <w:pPr>
      <w:keepLines/>
      <w:suppressAutoHyphens/>
      <w:spacing w:line="240" w:lineRule="exact"/>
      <w:ind w:left="0" w:hanging="720"/>
    </w:pPr>
    <w:rPr>
      <w:rFonts w:ascii="Arial" w:hAnsi="Arial"/>
      <w:sz w:val="16"/>
    </w:rPr>
  </w:style>
  <w:style w:type="character" w:customStyle="1" w:styleId="FootnoteTextChar">
    <w:name w:val="Footnote Text Char"/>
    <w:link w:val="FootnoteText"/>
    <w:uiPriority w:val="99"/>
    <w:locked/>
    <w:rsid w:val="00C36EB7"/>
    <w:rPr>
      <w:rFonts w:ascii="Arial" w:hAnsi="Arial" w:cs="Times New Roman"/>
      <w:sz w:val="16"/>
      <w:lang w:val="en-US" w:eastAsia="en-US" w:bidi="ar-SA"/>
    </w:rPr>
  </w:style>
  <w:style w:type="paragraph" w:styleId="TOC3">
    <w:name w:val="toc 3"/>
    <w:basedOn w:val="Normal"/>
    <w:next w:val="Normal"/>
    <w:uiPriority w:val="39"/>
    <w:rsid w:val="00914CD2"/>
    <w:pPr>
      <w:tabs>
        <w:tab w:val="left" w:pos="432"/>
        <w:tab w:val="left" w:pos="1080"/>
        <w:tab w:val="left" w:pos="1200"/>
        <w:tab w:val="right" w:leader="dot" w:pos="8222"/>
      </w:tabs>
      <w:spacing w:after="0"/>
      <w:ind w:left="432"/>
      <w:jc w:val="left"/>
    </w:pPr>
    <w:rPr>
      <w:rFonts w:ascii="Arial" w:hAnsi="Arial"/>
      <w:noProof/>
      <w:sz w:val="18"/>
    </w:rPr>
  </w:style>
  <w:style w:type="paragraph" w:styleId="ListNumber">
    <w:name w:val="List Number"/>
    <w:basedOn w:val="Normal"/>
    <w:uiPriority w:val="99"/>
    <w:rsid w:val="00914CD2"/>
    <w:pPr>
      <w:keepLines/>
      <w:numPr>
        <w:numId w:val="5"/>
      </w:numPr>
      <w:tabs>
        <w:tab w:val="clear" w:pos="562"/>
        <w:tab w:val="num" w:pos="426"/>
      </w:tabs>
      <w:suppressAutoHyphens/>
      <w:spacing w:line="280" w:lineRule="exact"/>
      <w:ind w:left="432" w:hanging="432"/>
      <w:jc w:val="left"/>
    </w:pPr>
    <w:rPr>
      <w:rFonts w:ascii="Arial" w:hAnsi="Arial"/>
      <w:sz w:val="20"/>
    </w:rPr>
  </w:style>
  <w:style w:type="paragraph" w:styleId="TOC4">
    <w:name w:val="toc 4"/>
    <w:basedOn w:val="Normal"/>
    <w:next w:val="Normal"/>
    <w:uiPriority w:val="99"/>
    <w:semiHidden/>
    <w:rsid w:val="00914CD2"/>
    <w:pPr>
      <w:spacing w:before="0" w:after="0"/>
      <w:ind w:left="720"/>
      <w:jc w:val="left"/>
    </w:pPr>
    <w:rPr>
      <w:sz w:val="18"/>
    </w:rPr>
  </w:style>
  <w:style w:type="paragraph" w:styleId="TOC5">
    <w:name w:val="toc 5"/>
    <w:basedOn w:val="Normal"/>
    <w:next w:val="Normal"/>
    <w:uiPriority w:val="99"/>
    <w:semiHidden/>
    <w:rsid w:val="00914CD2"/>
    <w:pPr>
      <w:spacing w:before="0" w:after="0"/>
      <w:ind w:left="960"/>
      <w:jc w:val="left"/>
    </w:pPr>
    <w:rPr>
      <w:sz w:val="18"/>
    </w:rPr>
  </w:style>
  <w:style w:type="paragraph" w:styleId="TOC6">
    <w:name w:val="toc 6"/>
    <w:basedOn w:val="Normal"/>
    <w:next w:val="Normal"/>
    <w:uiPriority w:val="99"/>
    <w:semiHidden/>
    <w:rsid w:val="00914CD2"/>
    <w:pPr>
      <w:spacing w:before="0" w:after="0"/>
      <w:ind w:left="1200"/>
      <w:jc w:val="left"/>
    </w:pPr>
    <w:rPr>
      <w:sz w:val="18"/>
    </w:rPr>
  </w:style>
  <w:style w:type="paragraph" w:styleId="TOC7">
    <w:name w:val="toc 7"/>
    <w:basedOn w:val="Normal"/>
    <w:next w:val="Normal"/>
    <w:uiPriority w:val="99"/>
    <w:semiHidden/>
    <w:rsid w:val="00914CD2"/>
    <w:pPr>
      <w:spacing w:before="0" w:after="0"/>
      <w:ind w:left="1440"/>
      <w:jc w:val="left"/>
    </w:pPr>
    <w:rPr>
      <w:sz w:val="18"/>
    </w:rPr>
  </w:style>
  <w:style w:type="paragraph" w:styleId="TOC8">
    <w:name w:val="toc 8"/>
    <w:basedOn w:val="Normal"/>
    <w:next w:val="Normal"/>
    <w:uiPriority w:val="99"/>
    <w:semiHidden/>
    <w:rsid w:val="00914CD2"/>
    <w:pPr>
      <w:spacing w:before="0" w:after="0"/>
      <w:ind w:left="1680"/>
      <w:jc w:val="left"/>
    </w:pPr>
    <w:rPr>
      <w:sz w:val="18"/>
    </w:rPr>
  </w:style>
  <w:style w:type="paragraph" w:styleId="TOC9">
    <w:name w:val="toc 9"/>
    <w:basedOn w:val="Normal"/>
    <w:next w:val="Normal"/>
    <w:uiPriority w:val="99"/>
    <w:semiHidden/>
    <w:rsid w:val="00914CD2"/>
    <w:pPr>
      <w:spacing w:before="0" w:after="0"/>
      <w:ind w:left="1920"/>
      <w:jc w:val="left"/>
    </w:pPr>
    <w:rPr>
      <w:sz w:val="18"/>
    </w:rPr>
  </w:style>
  <w:style w:type="paragraph" w:styleId="Date">
    <w:name w:val="Date"/>
    <w:basedOn w:val="Normal"/>
    <w:next w:val="Normal"/>
    <w:link w:val="DateChar"/>
    <w:uiPriority w:val="99"/>
    <w:rsid w:val="00914CD2"/>
    <w:pPr>
      <w:spacing w:before="0" w:after="0"/>
      <w:ind w:left="885" w:right="-357"/>
      <w:jc w:val="left"/>
    </w:pPr>
    <w:rPr>
      <w:rFonts w:ascii="Arial Bold" w:hAnsi="Arial Bold"/>
      <w:b/>
      <w:color w:val="FFFFFF"/>
      <w:sz w:val="19"/>
    </w:rPr>
  </w:style>
  <w:style w:type="character" w:customStyle="1" w:styleId="DateChar">
    <w:name w:val="Date Char"/>
    <w:link w:val="Date"/>
    <w:uiPriority w:val="99"/>
    <w:semiHidden/>
    <w:locked/>
    <w:rsid w:val="0057256E"/>
    <w:rPr>
      <w:rFonts w:ascii="Times New Roman" w:hAnsi="Times New Roman" w:cs="Times New Roman"/>
      <w:sz w:val="20"/>
      <w:szCs w:val="20"/>
    </w:rPr>
  </w:style>
  <w:style w:type="paragraph" w:customStyle="1" w:styleId="Status">
    <w:name w:val="Status"/>
    <w:uiPriority w:val="99"/>
    <w:rsid w:val="00006410"/>
    <w:pPr>
      <w:spacing w:before="120" w:after="120" w:line="280" w:lineRule="exact"/>
    </w:pPr>
    <w:rPr>
      <w:rFonts w:ascii="Arial Bold" w:hAnsi="Arial Bold"/>
      <w:b/>
      <w:noProof/>
      <w:color w:val="808080"/>
      <w:sz w:val="22"/>
    </w:rPr>
  </w:style>
  <w:style w:type="paragraph" w:customStyle="1" w:styleId="SectionHeading">
    <w:name w:val="Section Heading"/>
    <w:basedOn w:val="Normal"/>
    <w:uiPriority w:val="99"/>
    <w:rsid w:val="00914CD2"/>
    <w:pPr>
      <w:spacing w:before="240" w:after="240" w:line="360" w:lineRule="auto"/>
      <w:jc w:val="center"/>
    </w:pPr>
    <w:rPr>
      <w:rFonts w:ascii="Arial Bold" w:hAnsi="Arial Bold"/>
      <w:b/>
      <w:caps/>
      <w:color w:val="808080"/>
      <w:sz w:val="28"/>
    </w:rPr>
  </w:style>
  <w:style w:type="paragraph" w:styleId="ListBullet2">
    <w:name w:val="List Bullet 2"/>
    <w:basedOn w:val="Normal"/>
    <w:uiPriority w:val="99"/>
    <w:rsid w:val="00914CD2"/>
    <w:pPr>
      <w:numPr>
        <w:numId w:val="6"/>
      </w:numPr>
      <w:tabs>
        <w:tab w:val="clear" w:pos="360"/>
        <w:tab w:val="num" w:pos="786"/>
        <w:tab w:val="left" w:pos="851"/>
      </w:tabs>
      <w:suppressAutoHyphens/>
      <w:spacing w:line="280" w:lineRule="exact"/>
      <w:ind w:left="792"/>
      <w:jc w:val="left"/>
    </w:pPr>
    <w:rPr>
      <w:rFonts w:ascii="Arial" w:hAnsi="Arial"/>
      <w:sz w:val="20"/>
    </w:rPr>
  </w:style>
  <w:style w:type="paragraph" w:customStyle="1" w:styleId="Figure">
    <w:name w:val="Figure"/>
    <w:basedOn w:val="Normal"/>
    <w:next w:val="Caption"/>
    <w:uiPriority w:val="99"/>
    <w:rsid w:val="00914CD2"/>
    <w:pPr>
      <w:keepNext/>
      <w:keepLines/>
      <w:suppressAutoHyphens/>
      <w:ind w:left="0"/>
    </w:pPr>
    <w:rPr>
      <w:b/>
      <w:sz w:val="22"/>
    </w:rPr>
  </w:style>
  <w:style w:type="paragraph" w:styleId="Caption">
    <w:name w:val="caption"/>
    <w:basedOn w:val="Normal"/>
    <w:next w:val="BodyText"/>
    <w:uiPriority w:val="99"/>
    <w:qFormat/>
    <w:rsid w:val="00914CD2"/>
    <w:pPr>
      <w:keepNext/>
      <w:keepLines/>
      <w:suppressAutoHyphens/>
      <w:spacing w:line="280" w:lineRule="exact"/>
      <w:ind w:left="0"/>
    </w:pPr>
    <w:rPr>
      <w:rFonts w:ascii="Arial Bold" w:hAnsi="Arial Bold"/>
      <w:b/>
      <w:sz w:val="18"/>
    </w:rPr>
  </w:style>
  <w:style w:type="paragraph" w:customStyle="1" w:styleId="TableHeading">
    <w:name w:val="Table Heading"/>
    <w:basedOn w:val="Normal"/>
    <w:next w:val="TableText"/>
    <w:uiPriority w:val="99"/>
    <w:rsid w:val="00914CD2"/>
    <w:pPr>
      <w:keepNext/>
      <w:suppressAutoHyphens/>
      <w:ind w:left="0"/>
      <w:jc w:val="center"/>
    </w:pPr>
    <w:rPr>
      <w:rFonts w:ascii="Arial Bold" w:hAnsi="Arial Bold"/>
      <w:b/>
      <w:sz w:val="16"/>
    </w:rPr>
  </w:style>
  <w:style w:type="paragraph" w:customStyle="1" w:styleId="TableText">
    <w:name w:val="Table Text"/>
    <w:basedOn w:val="Normal"/>
    <w:uiPriority w:val="99"/>
    <w:rsid w:val="00914CD2"/>
    <w:pPr>
      <w:keepLines/>
      <w:suppressAutoHyphens/>
      <w:ind w:left="0"/>
      <w:jc w:val="left"/>
    </w:pPr>
    <w:rPr>
      <w:rFonts w:ascii="Arial" w:hAnsi="Arial"/>
      <w:sz w:val="16"/>
      <w:lang w:val="en-NZ"/>
    </w:rPr>
  </w:style>
  <w:style w:type="paragraph" w:styleId="ListBullet">
    <w:name w:val="List Bullet"/>
    <w:basedOn w:val="Normal"/>
    <w:uiPriority w:val="99"/>
    <w:rsid w:val="00914CD2"/>
    <w:pPr>
      <w:numPr>
        <w:numId w:val="4"/>
      </w:numPr>
      <w:tabs>
        <w:tab w:val="clear" w:pos="360"/>
      </w:tabs>
      <w:suppressAutoHyphens/>
      <w:spacing w:line="280" w:lineRule="exact"/>
      <w:ind w:left="432" w:hanging="432"/>
      <w:jc w:val="left"/>
    </w:pPr>
    <w:rPr>
      <w:rFonts w:ascii="Arial" w:hAnsi="Arial"/>
      <w:sz w:val="20"/>
    </w:rPr>
  </w:style>
  <w:style w:type="paragraph" w:customStyle="1" w:styleId="Appendix1">
    <w:name w:val="Appendix 1"/>
    <w:basedOn w:val="Normal"/>
    <w:next w:val="BodyText"/>
    <w:uiPriority w:val="99"/>
    <w:rsid w:val="00914CD2"/>
    <w:pPr>
      <w:keepNext/>
      <w:keepLines/>
      <w:suppressLineNumbers/>
      <w:suppressAutoHyphens/>
      <w:spacing w:before="360" w:after="240"/>
      <w:ind w:left="1422" w:hanging="432"/>
      <w:jc w:val="left"/>
    </w:pPr>
    <w:rPr>
      <w:rFonts w:ascii="Arial Bold" w:hAnsi="Arial Bold"/>
      <w:b/>
      <w:caps/>
      <w:color w:val="808080"/>
      <w:sz w:val="28"/>
      <w:u w:color="568A9E"/>
    </w:rPr>
  </w:style>
  <w:style w:type="paragraph" w:customStyle="1" w:styleId="Appendix2">
    <w:name w:val="Appendix 2"/>
    <w:basedOn w:val="Normal"/>
    <w:next w:val="BodyText"/>
    <w:uiPriority w:val="99"/>
    <w:rsid w:val="00914CD2"/>
    <w:pPr>
      <w:keepNext/>
      <w:keepLines/>
      <w:suppressLineNumbers/>
      <w:tabs>
        <w:tab w:val="num" w:pos="-144"/>
      </w:tabs>
      <w:suppressAutoHyphens/>
      <w:spacing w:before="240"/>
      <w:ind w:left="-144" w:hanging="576"/>
      <w:jc w:val="left"/>
    </w:pPr>
    <w:rPr>
      <w:rFonts w:ascii="Arial Bold" w:hAnsi="Arial Bold"/>
      <w:b/>
      <w:smallCaps/>
      <w:color w:val="808080"/>
    </w:rPr>
  </w:style>
  <w:style w:type="paragraph" w:customStyle="1" w:styleId="Appendix3">
    <w:name w:val="Appendix 3"/>
    <w:basedOn w:val="Normal"/>
    <w:next w:val="BodyText"/>
    <w:uiPriority w:val="99"/>
    <w:rsid w:val="00914CD2"/>
    <w:pPr>
      <w:keepNext/>
      <w:keepLines/>
      <w:suppressLineNumbers/>
      <w:tabs>
        <w:tab w:val="num" w:pos="0"/>
      </w:tabs>
      <w:suppressAutoHyphens/>
      <w:spacing w:before="240"/>
      <w:ind w:left="0" w:hanging="720"/>
      <w:jc w:val="left"/>
    </w:pPr>
    <w:rPr>
      <w:rFonts w:ascii="Arial Bold" w:hAnsi="Arial Bold"/>
      <w:b/>
      <w:color w:val="808080"/>
      <w:sz w:val="22"/>
    </w:rPr>
  </w:style>
  <w:style w:type="paragraph" w:customStyle="1" w:styleId="Appendix4">
    <w:name w:val="Appendix 4"/>
    <w:basedOn w:val="Normal"/>
    <w:next w:val="BodyText"/>
    <w:uiPriority w:val="99"/>
    <w:rsid w:val="00914CD2"/>
    <w:pPr>
      <w:keepNext/>
      <w:keepLines/>
      <w:suppressLineNumbers/>
      <w:suppressAutoHyphens/>
      <w:spacing w:before="200"/>
      <w:ind w:left="144" w:hanging="864"/>
      <w:jc w:val="left"/>
    </w:pPr>
    <w:rPr>
      <w:rFonts w:ascii="Arial Bold" w:hAnsi="Arial Bold"/>
      <w:b/>
      <w:i/>
      <w:color w:val="808080"/>
      <w:sz w:val="20"/>
    </w:rPr>
  </w:style>
  <w:style w:type="paragraph" w:customStyle="1" w:styleId="CVTitle">
    <w:name w:val="CVTitle"/>
    <w:basedOn w:val="Normal"/>
    <w:uiPriority w:val="99"/>
    <w:rsid w:val="00914CD2"/>
    <w:pPr>
      <w:suppressAutoHyphens/>
      <w:spacing w:before="240" w:after="240"/>
      <w:ind w:left="0"/>
      <w:jc w:val="left"/>
    </w:pPr>
    <w:rPr>
      <w:rFonts w:ascii="Arial" w:hAnsi="Arial"/>
      <w:b/>
      <w:caps/>
      <w:color w:val="808080"/>
      <w:sz w:val="32"/>
    </w:rPr>
  </w:style>
  <w:style w:type="paragraph" w:customStyle="1" w:styleId="Titlepagebodytext">
    <w:name w:val="Titlepagebodytext"/>
    <w:basedOn w:val="BodyText"/>
    <w:uiPriority w:val="99"/>
    <w:rsid w:val="00914CD2"/>
    <w:pPr>
      <w:spacing w:before="0" w:after="0"/>
      <w:ind w:left="885" w:right="-357"/>
    </w:pPr>
    <w:rPr>
      <w:color w:val="FFFFFF"/>
    </w:rPr>
  </w:style>
  <w:style w:type="paragraph" w:customStyle="1" w:styleId="CVHeading2">
    <w:name w:val="CVHeading2"/>
    <w:basedOn w:val="Normal"/>
    <w:uiPriority w:val="99"/>
    <w:rsid w:val="00914CD2"/>
    <w:pPr>
      <w:keepNext/>
      <w:suppressAutoHyphens/>
      <w:spacing w:before="240"/>
      <w:ind w:left="0"/>
      <w:jc w:val="left"/>
      <w:outlineLvl w:val="0"/>
    </w:pPr>
    <w:rPr>
      <w:rFonts w:ascii="Arial" w:hAnsi="Arial"/>
      <w:b/>
      <w:color w:val="808080"/>
      <w:kern w:val="28"/>
    </w:rPr>
  </w:style>
  <w:style w:type="paragraph" w:customStyle="1" w:styleId="CVHeading3">
    <w:name w:val="CVHeading3"/>
    <w:basedOn w:val="CVHeading2"/>
    <w:uiPriority w:val="99"/>
    <w:rsid w:val="00914CD2"/>
    <w:rPr>
      <w:b w:val="0"/>
      <w:i/>
    </w:rPr>
  </w:style>
  <w:style w:type="character" w:styleId="Hyperlink">
    <w:name w:val="Hyperlink"/>
    <w:uiPriority w:val="99"/>
    <w:rsid w:val="00914CD2"/>
    <w:rPr>
      <w:rFonts w:ascii="Arial" w:hAnsi="Arial" w:cs="Times New Roman"/>
      <w:color w:val="808080"/>
      <w:sz w:val="19"/>
      <w:u w:val="single" w:color="808080"/>
    </w:rPr>
  </w:style>
  <w:style w:type="paragraph" w:customStyle="1" w:styleId="CVHeading1">
    <w:name w:val="CVHeading1"/>
    <w:basedOn w:val="Heading1"/>
    <w:uiPriority w:val="99"/>
    <w:rsid w:val="00914CD2"/>
    <w:pPr>
      <w:suppressAutoHyphens/>
      <w:ind w:left="0" w:firstLine="0"/>
    </w:pPr>
    <w:rPr>
      <w:rFonts w:cs="Helvetica"/>
      <w:caps w:val="0"/>
      <w:smallCaps/>
    </w:rPr>
  </w:style>
  <w:style w:type="character" w:styleId="FollowedHyperlink">
    <w:name w:val="FollowedHyperlink"/>
    <w:uiPriority w:val="99"/>
    <w:rsid w:val="00914CD2"/>
    <w:rPr>
      <w:rFonts w:ascii="Arial" w:hAnsi="Arial" w:cs="Times New Roman"/>
      <w:color w:val="808080"/>
      <w:sz w:val="19"/>
      <w:u w:val="single" w:color="808080"/>
    </w:rPr>
  </w:style>
  <w:style w:type="character" w:styleId="LineNumber">
    <w:name w:val="line number"/>
    <w:uiPriority w:val="99"/>
    <w:rsid w:val="00914CD2"/>
    <w:rPr>
      <w:rFonts w:ascii="Arial" w:hAnsi="Arial" w:cs="Times New Roman"/>
      <w:vanish/>
      <w:color w:val="808080"/>
      <w:sz w:val="16"/>
    </w:rPr>
  </w:style>
  <w:style w:type="paragraph" w:customStyle="1" w:styleId="Quotations">
    <w:name w:val="Quotations"/>
    <w:basedOn w:val="BodyText"/>
    <w:uiPriority w:val="99"/>
    <w:rsid w:val="00914CD2"/>
    <w:pPr>
      <w:ind w:left="720"/>
    </w:pPr>
    <w:rPr>
      <w:i/>
      <w:iCs/>
      <w:sz w:val="18"/>
    </w:rPr>
  </w:style>
  <w:style w:type="paragraph" w:customStyle="1" w:styleId="Source">
    <w:name w:val="Source"/>
    <w:basedOn w:val="BodyText"/>
    <w:uiPriority w:val="99"/>
    <w:rsid w:val="00914CD2"/>
    <w:rPr>
      <w:sz w:val="16"/>
    </w:rPr>
  </w:style>
  <w:style w:type="paragraph" w:customStyle="1" w:styleId="Disclaimer">
    <w:name w:val="Disclaimer"/>
    <w:basedOn w:val="BodyText"/>
    <w:uiPriority w:val="99"/>
    <w:rsid w:val="00914CD2"/>
    <w:rPr>
      <w:i/>
      <w:iCs/>
    </w:rPr>
  </w:style>
  <w:style w:type="paragraph" w:customStyle="1" w:styleId="BodyTextOut">
    <w:name w:val="Body Text Out"/>
    <w:basedOn w:val="BodyText"/>
    <w:uiPriority w:val="99"/>
    <w:rsid w:val="00914CD2"/>
    <w:pPr>
      <w:ind w:left="-709"/>
    </w:pPr>
  </w:style>
  <w:style w:type="paragraph" w:customStyle="1" w:styleId="TabletextR2">
    <w:name w:val="Tabletext R2"/>
    <w:basedOn w:val="Normal"/>
    <w:uiPriority w:val="99"/>
    <w:rsid w:val="00914CD2"/>
    <w:pPr>
      <w:keepNext/>
      <w:widowControl w:val="0"/>
      <w:spacing w:after="60"/>
      <w:ind w:left="252"/>
      <w:jc w:val="left"/>
    </w:pPr>
    <w:rPr>
      <w:rFonts w:ascii="Arial" w:hAnsi="Arial"/>
      <w:b/>
      <w:sz w:val="18"/>
    </w:rPr>
  </w:style>
  <w:style w:type="paragraph" w:customStyle="1" w:styleId="BoxHeading">
    <w:name w:val="Box Heading"/>
    <w:basedOn w:val="Heading4"/>
    <w:uiPriority w:val="99"/>
    <w:rsid w:val="00914CD2"/>
    <w:rPr>
      <w:i w:val="0"/>
    </w:rPr>
  </w:style>
  <w:style w:type="paragraph" w:customStyle="1" w:styleId="TabletextR3">
    <w:name w:val="Tabletext R3"/>
    <w:basedOn w:val="Normal"/>
    <w:uiPriority w:val="99"/>
    <w:rsid w:val="00914CD2"/>
    <w:pPr>
      <w:keepNext/>
      <w:widowControl w:val="0"/>
      <w:spacing w:after="60"/>
      <w:ind w:left="0"/>
      <w:jc w:val="left"/>
    </w:pPr>
    <w:rPr>
      <w:rFonts w:ascii="Arial" w:hAnsi="Arial"/>
      <w:sz w:val="18"/>
    </w:rPr>
  </w:style>
  <w:style w:type="paragraph" w:customStyle="1" w:styleId="ReportName">
    <w:name w:val="Report Name"/>
    <w:basedOn w:val="BodyText"/>
    <w:uiPriority w:val="99"/>
    <w:rsid w:val="00914CD2"/>
    <w:pPr>
      <w:suppressAutoHyphens w:val="0"/>
      <w:spacing w:before="0" w:after="240" w:line="264" w:lineRule="auto"/>
      <w:ind w:left="1440"/>
    </w:pPr>
    <w:rPr>
      <w:color w:val="808080"/>
      <w:sz w:val="52"/>
    </w:rPr>
  </w:style>
  <w:style w:type="character" w:styleId="PageNumber">
    <w:name w:val="page number"/>
    <w:uiPriority w:val="99"/>
    <w:rsid w:val="00413023"/>
    <w:rPr>
      <w:rFonts w:cs="Times New Roman"/>
    </w:rPr>
  </w:style>
  <w:style w:type="paragraph" w:customStyle="1" w:styleId="DeleteMe">
    <w:name w:val="Delete Me"/>
    <w:basedOn w:val="BodyText"/>
    <w:uiPriority w:val="99"/>
    <w:rsid w:val="00914CD2"/>
    <w:rPr>
      <w:color w:val="FF0000"/>
    </w:rPr>
  </w:style>
  <w:style w:type="table" w:styleId="TableGrid">
    <w:name w:val="Table Grid"/>
    <w:basedOn w:val="TableNormal"/>
    <w:uiPriority w:val="99"/>
    <w:rsid w:val="00914CD2"/>
    <w:pPr>
      <w:spacing w:before="120" w:after="120"/>
      <w:ind w:left="-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5B4B9D"/>
    <w:pPr>
      <w:ind w:left="0"/>
    </w:pPr>
    <w:rPr>
      <w:rFonts w:ascii="Arial" w:hAnsi="Arial"/>
      <w:sz w:val="20"/>
    </w:rPr>
  </w:style>
  <w:style w:type="character" w:customStyle="1" w:styleId="ChapterLevelCharChar">
    <w:name w:val="Chapter Level Char Char"/>
    <w:uiPriority w:val="99"/>
    <w:locked/>
    <w:rsid w:val="00D24EAD"/>
    <w:rPr>
      <w:rFonts w:ascii="Cambria" w:hAnsi="Cambria" w:cs="Times New Roman"/>
      <w:b/>
      <w:bCs/>
      <w:kern w:val="32"/>
      <w:sz w:val="32"/>
      <w:szCs w:val="32"/>
    </w:rPr>
  </w:style>
  <w:style w:type="character" w:customStyle="1" w:styleId="BodyTextChar1">
    <w:name w:val="Body Text Char1"/>
    <w:uiPriority w:val="99"/>
    <w:rsid w:val="00D24EAD"/>
    <w:rPr>
      <w:rFonts w:ascii="Arial" w:hAnsi="Arial" w:cs="Times New Roman"/>
      <w:lang w:val="en-US" w:eastAsia="en-US" w:bidi="ar-SA"/>
    </w:rPr>
  </w:style>
  <w:style w:type="paragraph" w:customStyle="1" w:styleId="StyleHeading1NotAllcaps">
    <w:name w:val="Style Heading 1 + Not All caps"/>
    <w:basedOn w:val="Heading1"/>
    <w:uiPriority w:val="99"/>
    <w:rsid w:val="00E70621"/>
    <w:pPr>
      <w:ind w:left="-14" w:hanging="706"/>
    </w:pPr>
    <w:rPr>
      <w:bCs/>
      <w:caps w:val="0"/>
    </w:rPr>
  </w:style>
  <w:style w:type="table" w:styleId="TableGrid8">
    <w:name w:val="Table Grid 8"/>
    <w:basedOn w:val="TableNormal"/>
    <w:uiPriority w:val="99"/>
    <w:rsid w:val="001B1D10"/>
    <w:pPr>
      <w:spacing w:before="120" w:after="120"/>
      <w:ind w:left="-7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styleId="CommentReference">
    <w:name w:val="annotation reference"/>
    <w:uiPriority w:val="99"/>
    <w:semiHidden/>
    <w:rsid w:val="00514D65"/>
    <w:rPr>
      <w:rFonts w:cs="Times New Roman"/>
      <w:sz w:val="16"/>
      <w:szCs w:val="16"/>
    </w:rPr>
  </w:style>
  <w:style w:type="paragraph" w:styleId="CommentText">
    <w:name w:val="annotation text"/>
    <w:basedOn w:val="Normal"/>
    <w:link w:val="CommentTextChar"/>
    <w:uiPriority w:val="99"/>
    <w:semiHidden/>
    <w:rsid w:val="00514D65"/>
    <w:rPr>
      <w:sz w:val="20"/>
    </w:rPr>
  </w:style>
  <w:style w:type="character" w:customStyle="1" w:styleId="CommentTextChar">
    <w:name w:val="Comment Text Char"/>
    <w:link w:val="CommentText"/>
    <w:uiPriority w:val="99"/>
    <w:semiHidden/>
    <w:locked/>
    <w:rsid w:val="0057256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514D65"/>
    <w:rPr>
      <w:b/>
      <w:bCs/>
    </w:rPr>
  </w:style>
  <w:style w:type="character" w:customStyle="1" w:styleId="CommentSubjectChar">
    <w:name w:val="Comment Subject Char"/>
    <w:link w:val="CommentSubject"/>
    <w:uiPriority w:val="99"/>
    <w:semiHidden/>
    <w:locked/>
    <w:rsid w:val="0057256E"/>
    <w:rPr>
      <w:rFonts w:ascii="Times New Roman" w:hAnsi="Times New Roman" w:cs="Times New Roman"/>
      <w:b/>
      <w:bCs/>
      <w:sz w:val="20"/>
      <w:szCs w:val="20"/>
    </w:rPr>
  </w:style>
  <w:style w:type="paragraph" w:styleId="ListParagraph">
    <w:name w:val="List Paragraph"/>
    <w:basedOn w:val="Normal"/>
    <w:uiPriority w:val="34"/>
    <w:qFormat/>
    <w:rsid w:val="00EE37BB"/>
    <w:pPr>
      <w:ind w:left="720"/>
      <w:contextualSpacing/>
    </w:pPr>
  </w:style>
  <w:style w:type="paragraph" w:styleId="Revision">
    <w:name w:val="Revision"/>
    <w:hidden/>
    <w:uiPriority w:val="99"/>
    <w:semiHidden/>
    <w:rsid w:val="00C13F0F"/>
    <w:rPr>
      <w:rFonts w:ascii="Times New Roman" w:hAnsi="Times New Roman"/>
      <w:sz w:val="24"/>
    </w:rPr>
  </w:style>
  <w:style w:type="paragraph" w:styleId="NormalWeb">
    <w:name w:val="Normal (Web)"/>
    <w:basedOn w:val="Normal"/>
    <w:uiPriority w:val="99"/>
    <w:rsid w:val="00006058"/>
    <w:pPr>
      <w:spacing w:before="100" w:beforeAutospacing="1" w:after="100" w:afterAutospacing="1"/>
      <w:ind w:left="0"/>
      <w:jc w:val="left"/>
    </w:pPr>
    <w:rPr>
      <w:szCs w:val="24"/>
    </w:rPr>
  </w:style>
  <w:style w:type="character" w:customStyle="1" w:styleId="ft">
    <w:name w:val="ft"/>
    <w:basedOn w:val="DefaultParagraphFont"/>
    <w:rsid w:val="009A3B9F"/>
  </w:style>
  <w:style w:type="paragraph" w:customStyle="1" w:styleId="Default">
    <w:name w:val="Default"/>
    <w:rsid w:val="001636E1"/>
    <w:pPr>
      <w:autoSpaceDE w:val="0"/>
      <w:autoSpaceDN w:val="0"/>
      <w:adjustRightInd w:val="0"/>
    </w:pPr>
    <w:rPr>
      <w:rFonts w:ascii="Arial" w:hAnsi="Arial" w:cs="Arial"/>
      <w:color w:val="000000"/>
      <w:sz w:val="24"/>
      <w:szCs w:val="24"/>
    </w:rPr>
  </w:style>
  <w:style w:type="table" w:styleId="MediumShading2-Accent1">
    <w:name w:val="Medium Shading 2 Accent 1"/>
    <w:basedOn w:val="TableNormal"/>
    <w:uiPriority w:val="64"/>
    <w:rsid w:val="00E8308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1">
    <w:name w:val="Light List Accent 1"/>
    <w:basedOn w:val="TableNormal"/>
    <w:uiPriority w:val="61"/>
    <w:rsid w:val="00E83082"/>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3-Accent1">
    <w:name w:val="Medium Grid 3 Accent 1"/>
    <w:basedOn w:val="TableNormal"/>
    <w:uiPriority w:val="69"/>
    <w:rsid w:val="00E8308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r="http://schemas.openxmlformats.org/officeDocument/2006/relationships" xmlns:w="http://schemas.openxmlformats.org/wordprocessingml/2006/main">
  <w:divs>
    <w:div w:id="45878501">
      <w:bodyDiv w:val="1"/>
      <w:marLeft w:val="0"/>
      <w:marRight w:val="0"/>
      <w:marTop w:val="0"/>
      <w:marBottom w:val="0"/>
      <w:divBdr>
        <w:top w:val="none" w:sz="0" w:space="0" w:color="auto"/>
        <w:left w:val="none" w:sz="0" w:space="0" w:color="auto"/>
        <w:bottom w:val="none" w:sz="0" w:space="0" w:color="auto"/>
        <w:right w:val="none" w:sz="0" w:space="0" w:color="auto"/>
      </w:divBdr>
    </w:div>
    <w:div w:id="141892383">
      <w:bodyDiv w:val="1"/>
      <w:marLeft w:val="0"/>
      <w:marRight w:val="0"/>
      <w:marTop w:val="0"/>
      <w:marBottom w:val="0"/>
      <w:divBdr>
        <w:top w:val="none" w:sz="0" w:space="0" w:color="auto"/>
        <w:left w:val="none" w:sz="0" w:space="0" w:color="auto"/>
        <w:bottom w:val="none" w:sz="0" w:space="0" w:color="auto"/>
        <w:right w:val="none" w:sz="0" w:space="0" w:color="auto"/>
      </w:divBdr>
    </w:div>
    <w:div w:id="374045353">
      <w:marLeft w:val="0"/>
      <w:marRight w:val="0"/>
      <w:marTop w:val="0"/>
      <w:marBottom w:val="0"/>
      <w:divBdr>
        <w:top w:val="none" w:sz="0" w:space="0" w:color="auto"/>
        <w:left w:val="none" w:sz="0" w:space="0" w:color="auto"/>
        <w:bottom w:val="none" w:sz="0" w:space="0" w:color="auto"/>
        <w:right w:val="none" w:sz="0" w:space="0" w:color="auto"/>
      </w:divBdr>
    </w:div>
    <w:div w:id="374045354">
      <w:marLeft w:val="0"/>
      <w:marRight w:val="0"/>
      <w:marTop w:val="0"/>
      <w:marBottom w:val="0"/>
      <w:divBdr>
        <w:top w:val="none" w:sz="0" w:space="0" w:color="auto"/>
        <w:left w:val="none" w:sz="0" w:space="0" w:color="auto"/>
        <w:bottom w:val="none" w:sz="0" w:space="0" w:color="auto"/>
        <w:right w:val="none" w:sz="0" w:space="0" w:color="auto"/>
      </w:divBdr>
    </w:div>
    <w:div w:id="374045356">
      <w:marLeft w:val="0"/>
      <w:marRight w:val="0"/>
      <w:marTop w:val="0"/>
      <w:marBottom w:val="0"/>
      <w:divBdr>
        <w:top w:val="none" w:sz="0" w:space="0" w:color="auto"/>
        <w:left w:val="none" w:sz="0" w:space="0" w:color="auto"/>
        <w:bottom w:val="none" w:sz="0" w:space="0" w:color="auto"/>
        <w:right w:val="none" w:sz="0" w:space="0" w:color="auto"/>
      </w:divBdr>
      <w:divsChild>
        <w:div w:id="374045362">
          <w:marLeft w:val="0"/>
          <w:marRight w:val="0"/>
          <w:marTop w:val="0"/>
          <w:marBottom w:val="0"/>
          <w:divBdr>
            <w:top w:val="none" w:sz="0" w:space="0" w:color="auto"/>
            <w:left w:val="none" w:sz="0" w:space="0" w:color="auto"/>
            <w:bottom w:val="none" w:sz="0" w:space="0" w:color="auto"/>
            <w:right w:val="none" w:sz="0" w:space="0" w:color="auto"/>
          </w:divBdr>
        </w:div>
      </w:divsChild>
    </w:div>
    <w:div w:id="374045360">
      <w:marLeft w:val="0"/>
      <w:marRight w:val="0"/>
      <w:marTop w:val="0"/>
      <w:marBottom w:val="0"/>
      <w:divBdr>
        <w:top w:val="none" w:sz="0" w:space="0" w:color="auto"/>
        <w:left w:val="none" w:sz="0" w:space="0" w:color="auto"/>
        <w:bottom w:val="none" w:sz="0" w:space="0" w:color="auto"/>
        <w:right w:val="none" w:sz="0" w:space="0" w:color="auto"/>
      </w:divBdr>
    </w:div>
    <w:div w:id="374045361">
      <w:marLeft w:val="0"/>
      <w:marRight w:val="0"/>
      <w:marTop w:val="0"/>
      <w:marBottom w:val="0"/>
      <w:divBdr>
        <w:top w:val="none" w:sz="0" w:space="0" w:color="auto"/>
        <w:left w:val="none" w:sz="0" w:space="0" w:color="auto"/>
        <w:bottom w:val="none" w:sz="0" w:space="0" w:color="auto"/>
        <w:right w:val="none" w:sz="0" w:space="0" w:color="auto"/>
      </w:divBdr>
      <w:divsChild>
        <w:div w:id="374045355">
          <w:marLeft w:val="0"/>
          <w:marRight w:val="0"/>
          <w:marTop w:val="0"/>
          <w:marBottom w:val="0"/>
          <w:divBdr>
            <w:top w:val="none" w:sz="0" w:space="0" w:color="auto"/>
            <w:left w:val="none" w:sz="0" w:space="0" w:color="auto"/>
            <w:bottom w:val="none" w:sz="0" w:space="0" w:color="auto"/>
            <w:right w:val="none" w:sz="0" w:space="0" w:color="auto"/>
          </w:divBdr>
        </w:div>
        <w:div w:id="374045357">
          <w:marLeft w:val="0"/>
          <w:marRight w:val="0"/>
          <w:marTop w:val="0"/>
          <w:marBottom w:val="0"/>
          <w:divBdr>
            <w:top w:val="none" w:sz="0" w:space="0" w:color="auto"/>
            <w:left w:val="none" w:sz="0" w:space="0" w:color="auto"/>
            <w:bottom w:val="none" w:sz="0" w:space="0" w:color="auto"/>
            <w:right w:val="none" w:sz="0" w:space="0" w:color="auto"/>
          </w:divBdr>
        </w:div>
        <w:div w:id="374045358">
          <w:marLeft w:val="0"/>
          <w:marRight w:val="0"/>
          <w:marTop w:val="0"/>
          <w:marBottom w:val="0"/>
          <w:divBdr>
            <w:top w:val="none" w:sz="0" w:space="0" w:color="auto"/>
            <w:left w:val="none" w:sz="0" w:space="0" w:color="auto"/>
            <w:bottom w:val="none" w:sz="0" w:space="0" w:color="auto"/>
            <w:right w:val="none" w:sz="0" w:space="0" w:color="auto"/>
          </w:divBdr>
        </w:div>
        <w:div w:id="374045359">
          <w:marLeft w:val="0"/>
          <w:marRight w:val="0"/>
          <w:marTop w:val="0"/>
          <w:marBottom w:val="0"/>
          <w:divBdr>
            <w:top w:val="none" w:sz="0" w:space="0" w:color="auto"/>
            <w:left w:val="none" w:sz="0" w:space="0" w:color="auto"/>
            <w:bottom w:val="none" w:sz="0" w:space="0" w:color="auto"/>
            <w:right w:val="none" w:sz="0" w:space="0" w:color="auto"/>
          </w:divBdr>
        </w:div>
        <w:div w:id="374045363">
          <w:marLeft w:val="0"/>
          <w:marRight w:val="0"/>
          <w:marTop w:val="0"/>
          <w:marBottom w:val="0"/>
          <w:divBdr>
            <w:top w:val="none" w:sz="0" w:space="0" w:color="auto"/>
            <w:left w:val="none" w:sz="0" w:space="0" w:color="auto"/>
            <w:bottom w:val="none" w:sz="0" w:space="0" w:color="auto"/>
            <w:right w:val="none" w:sz="0" w:space="0" w:color="auto"/>
          </w:divBdr>
        </w:div>
        <w:div w:id="374045367">
          <w:marLeft w:val="0"/>
          <w:marRight w:val="0"/>
          <w:marTop w:val="0"/>
          <w:marBottom w:val="0"/>
          <w:divBdr>
            <w:top w:val="none" w:sz="0" w:space="0" w:color="auto"/>
            <w:left w:val="none" w:sz="0" w:space="0" w:color="auto"/>
            <w:bottom w:val="none" w:sz="0" w:space="0" w:color="auto"/>
            <w:right w:val="none" w:sz="0" w:space="0" w:color="auto"/>
          </w:divBdr>
        </w:div>
      </w:divsChild>
    </w:div>
    <w:div w:id="374045365">
      <w:marLeft w:val="0"/>
      <w:marRight w:val="0"/>
      <w:marTop w:val="0"/>
      <w:marBottom w:val="0"/>
      <w:divBdr>
        <w:top w:val="none" w:sz="0" w:space="0" w:color="auto"/>
        <w:left w:val="none" w:sz="0" w:space="0" w:color="auto"/>
        <w:bottom w:val="none" w:sz="0" w:space="0" w:color="auto"/>
        <w:right w:val="none" w:sz="0" w:space="0" w:color="auto"/>
      </w:divBdr>
    </w:div>
    <w:div w:id="374045366">
      <w:marLeft w:val="0"/>
      <w:marRight w:val="0"/>
      <w:marTop w:val="0"/>
      <w:marBottom w:val="0"/>
      <w:divBdr>
        <w:top w:val="none" w:sz="0" w:space="0" w:color="auto"/>
        <w:left w:val="none" w:sz="0" w:space="0" w:color="auto"/>
        <w:bottom w:val="none" w:sz="0" w:space="0" w:color="auto"/>
        <w:right w:val="none" w:sz="0" w:space="0" w:color="auto"/>
      </w:divBdr>
      <w:divsChild>
        <w:div w:id="374045371">
          <w:marLeft w:val="0"/>
          <w:marRight w:val="0"/>
          <w:marTop w:val="0"/>
          <w:marBottom w:val="0"/>
          <w:divBdr>
            <w:top w:val="none" w:sz="0" w:space="0" w:color="auto"/>
            <w:left w:val="none" w:sz="0" w:space="0" w:color="auto"/>
            <w:bottom w:val="none" w:sz="0" w:space="0" w:color="auto"/>
            <w:right w:val="none" w:sz="0" w:space="0" w:color="auto"/>
          </w:divBdr>
          <w:divsChild>
            <w:div w:id="374045364">
              <w:marLeft w:val="0"/>
              <w:marRight w:val="0"/>
              <w:marTop w:val="0"/>
              <w:marBottom w:val="0"/>
              <w:divBdr>
                <w:top w:val="none" w:sz="0" w:space="0" w:color="auto"/>
                <w:left w:val="none" w:sz="0" w:space="0" w:color="auto"/>
                <w:bottom w:val="none" w:sz="0" w:space="0" w:color="auto"/>
                <w:right w:val="none" w:sz="0" w:space="0" w:color="auto"/>
              </w:divBdr>
            </w:div>
            <w:div w:id="374045368">
              <w:marLeft w:val="0"/>
              <w:marRight w:val="0"/>
              <w:marTop w:val="0"/>
              <w:marBottom w:val="0"/>
              <w:divBdr>
                <w:top w:val="none" w:sz="0" w:space="0" w:color="auto"/>
                <w:left w:val="none" w:sz="0" w:space="0" w:color="auto"/>
                <w:bottom w:val="none" w:sz="0" w:space="0" w:color="auto"/>
                <w:right w:val="none" w:sz="0" w:space="0" w:color="auto"/>
              </w:divBdr>
            </w:div>
            <w:div w:id="374045369">
              <w:marLeft w:val="0"/>
              <w:marRight w:val="0"/>
              <w:marTop w:val="0"/>
              <w:marBottom w:val="0"/>
              <w:divBdr>
                <w:top w:val="none" w:sz="0" w:space="0" w:color="auto"/>
                <w:left w:val="none" w:sz="0" w:space="0" w:color="auto"/>
                <w:bottom w:val="none" w:sz="0" w:space="0" w:color="auto"/>
                <w:right w:val="none" w:sz="0" w:space="0" w:color="auto"/>
              </w:divBdr>
            </w:div>
            <w:div w:id="374045370">
              <w:marLeft w:val="0"/>
              <w:marRight w:val="0"/>
              <w:marTop w:val="0"/>
              <w:marBottom w:val="0"/>
              <w:divBdr>
                <w:top w:val="none" w:sz="0" w:space="0" w:color="auto"/>
                <w:left w:val="none" w:sz="0" w:space="0" w:color="auto"/>
                <w:bottom w:val="none" w:sz="0" w:space="0" w:color="auto"/>
                <w:right w:val="none" w:sz="0" w:space="0" w:color="auto"/>
              </w:divBdr>
            </w:div>
            <w:div w:id="37404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45372">
      <w:marLeft w:val="0"/>
      <w:marRight w:val="0"/>
      <w:marTop w:val="0"/>
      <w:marBottom w:val="0"/>
      <w:divBdr>
        <w:top w:val="none" w:sz="0" w:space="0" w:color="auto"/>
        <w:left w:val="none" w:sz="0" w:space="0" w:color="auto"/>
        <w:bottom w:val="none" w:sz="0" w:space="0" w:color="auto"/>
        <w:right w:val="none" w:sz="0" w:space="0" w:color="auto"/>
      </w:divBdr>
    </w:div>
    <w:div w:id="374045374">
      <w:marLeft w:val="0"/>
      <w:marRight w:val="0"/>
      <w:marTop w:val="0"/>
      <w:marBottom w:val="0"/>
      <w:divBdr>
        <w:top w:val="none" w:sz="0" w:space="0" w:color="auto"/>
        <w:left w:val="none" w:sz="0" w:space="0" w:color="auto"/>
        <w:bottom w:val="none" w:sz="0" w:space="0" w:color="auto"/>
        <w:right w:val="none" w:sz="0" w:space="0" w:color="auto"/>
      </w:divBdr>
      <w:divsChild>
        <w:div w:id="374045376">
          <w:marLeft w:val="0"/>
          <w:marRight w:val="0"/>
          <w:marTop w:val="0"/>
          <w:marBottom w:val="0"/>
          <w:divBdr>
            <w:top w:val="none" w:sz="0" w:space="0" w:color="auto"/>
            <w:left w:val="none" w:sz="0" w:space="0" w:color="auto"/>
            <w:bottom w:val="none" w:sz="0" w:space="0" w:color="auto"/>
            <w:right w:val="none" w:sz="0" w:space="0" w:color="auto"/>
          </w:divBdr>
        </w:div>
      </w:divsChild>
    </w:div>
    <w:div w:id="374045375">
      <w:marLeft w:val="0"/>
      <w:marRight w:val="0"/>
      <w:marTop w:val="0"/>
      <w:marBottom w:val="0"/>
      <w:divBdr>
        <w:top w:val="none" w:sz="0" w:space="0" w:color="auto"/>
        <w:left w:val="none" w:sz="0" w:space="0" w:color="auto"/>
        <w:bottom w:val="none" w:sz="0" w:space="0" w:color="auto"/>
        <w:right w:val="none" w:sz="0" w:space="0" w:color="auto"/>
      </w:divBdr>
    </w:div>
    <w:div w:id="374045377">
      <w:marLeft w:val="0"/>
      <w:marRight w:val="0"/>
      <w:marTop w:val="0"/>
      <w:marBottom w:val="0"/>
      <w:divBdr>
        <w:top w:val="none" w:sz="0" w:space="0" w:color="auto"/>
        <w:left w:val="none" w:sz="0" w:space="0" w:color="auto"/>
        <w:bottom w:val="none" w:sz="0" w:space="0" w:color="auto"/>
        <w:right w:val="none" w:sz="0" w:space="0" w:color="auto"/>
      </w:divBdr>
    </w:div>
    <w:div w:id="814028545">
      <w:bodyDiv w:val="1"/>
      <w:marLeft w:val="0"/>
      <w:marRight w:val="0"/>
      <w:marTop w:val="0"/>
      <w:marBottom w:val="0"/>
      <w:divBdr>
        <w:top w:val="none" w:sz="0" w:space="0" w:color="auto"/>
        <w:left w:val="none" w:sz="0" w:space="0" w:color="auto"/>
        <w:bottom w:val="none" w:sz="0" w:space="0" w:color="auto"/>
        <w:right w:val="none" w:sz="0" w:space="0" w:color="auto"/>
      </w:divBdr>
    </w:div>
    <w:div w:id="1023432338">
      <w:bodyDiv w:val="1"/>
      <w:marLeft w:val="0"/>
      <w:marRight w:val="0"/>
      <w:marTop w:val="0"/>
      <w:marBottom w:val="0"/>
      <w:divBdr>
        <w:top w:val="none" w:sz="0" w:space="0" w:color="auto"/>
        <w:left w:val="none" w:sz="0" w:space="0" w:color="auto"/>
        <w:bottom w:val="none" w:sz="0" w:space="0" w:color="auto"/>
        <w:right w:val="none" w:sz="0" w:space="0" w:color="auto"/>
      </w:divBdr>
    </w:div>
    <w:div w:id="1237744552">
      <w:bodyDiv w:val="1"/>
      <w:marLeft w:val="0"/>
      <w:marRight w:val="0"/>
      <w:marTop w:val="0"/>
      <w:marBottom w:val="0"/>
      <w:divBdr>
        <w:top w:val="none" w:sz="0" w:space="0" w:color="auto"/>
        <w:left w:val="none" w:sz="0" w:space="0" w:color="auto"/>
        <w:bottom w:val="none" w:sz="0" w:space="0" w:color="auto"/>
        <w:right w:val="none" w:sz="0" w:space="0" w:color="auto"/>
      </w:divBdr>
    </w:div>
    <w:div w:id="1317303712">
      <w:bodyDiv w:val="1"/>
      <w:marLeft w:val="0"/>
      <w:marRight w:val="0"/>
      <w:marTop w:val="0"/>
      <w:marBottom w:val="0"/>
      <w:divBdr>
        <w:top w:val="none" w:sz="0" w:space="0" w:color="auto"/>
        <w:left w:val="none" w:sz="0" w:space="0" w:color="auto"/>
        <w:bottom w:val="none" w:sz="0" w:space="0" w:color="auto"/>
        <w:right w:val="none" w:sz="0" w:space="0" w:color="auto"/>
      </w:divBdr>
    </w:div>
    <w:div w:id="1800950093">
      <w:bodyDiv w:val="1"/>
      <w:marLeft w:val="0"/>
      <w:marRight w:val="0"/>
      <w:marTop w:val="0"/>
      <w:marBottom w:val="0"/>
      <w:divBdr>
        <w:top w:val="none" w:sz="0" w:space="0" w:color="auto"/>
        <w:left w:val="none" w:sz="0" w:space="0" w:color="auto"/>
        <w:bottom w:val="none" w:sz="0" w:space="0" w:color="auto"/>
        <w:right w:val="none" w:sz="0" w:space="0" w:color="auto"/>
      </w:divBdr>
    </w:div>
    <w:div w:id="1890917452">
      <w:bodyDiv w:val="1"/>
      <w:marLeft w:val="0"/>
      <w:marRight w:val="0"/>
      <w:marTop w:val="0"/>
      <w:marBottom w:val="0"/>
      <w:divBdr>
        <w:top w:val="none" w:sz="0" w:space="0" w:color="auto"/>
        <w:left w:val="none" w:sz="0" w:space="0" w:color="auto"/>
        <w:bottom w:val="none" w:sz="0" w:space="0" w:color="auto"/>
        <w:right w:val="none" w:sz="0" w:space="0" w:color="auto"/>
      </w:divBdr>
    </w:div>
    <w:div w:id="1899589221">
      <w:bodyDiv w:val="1"/>
      <w:marLeft w:val="0"/>
      <w:marRight w:val="0"/>
      <w:marTop w:val="0"/>
      <w:marBottom w:val="0"/>
      <w:divBdr>
        <w:top w:val="none" w:sz="0" w:space="0" w:color="auto"/>
        <w:left w:val="none" w:sz="0" w:space="0" w:color="auto"/>
        <w:bottom w:val="none" w:sz="0" w:space="0" w:color="auto"/>
        <w:right w:val="none" w:sz="0" w:space="0" w:color="auto"/>
      </w:divBdr>
    </w:div>
    <w:div w:id="19695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image" Target="media/image1.emf"/><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73"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3739</Words>
  <Characters>20347</Characters>
  <Application>Microsoft Office Word</Application>
  <DocSecurity>0</DocSecurity>
  <Lines>169</Lines>
  <Paragraphs>48</Paragraphs>
  <ScaleCrop>false</ScaleCrop>
  <Company/>
  <LinksUpToDate>false</LinksUpToDate>
  <CharactersWithSpaces>24038</CharactersWithSpaces>
  <SharedDoc>false</SharedDoc>
  <HLinks>
    <vt:vector size="750" baseType="variant">
      <vt:variant>
        <vt:i4>2031670</vt:i4>
      </vt:variant>
      <vt:variant>
        <vt:i4>680</vt:i4>
      </vt:variant>
      <vt:variant>
        <vt:i4>0</vt:i4>
      </vt:variant>
      <vt:variant>
        <vt:i4>5</vt:i4>
      </vt:variant>
      <vt:variant>
        <vt:lpwstr/>
      </vt:variant>
      <vt:variant>
        <vt:lpwstr>_Toc311846075</vt:lpwstr>
      </vt:variant>
      <vt:variant>
        <vt:i4>2031670</vt:i4>
      </vt:variant>
      <vt:variant>
        <vt:i4>674</vt:i4>
      </vt:variant>
      <vt:variant>
        <vt:i4>0</vt:i4>
      </vt:variant>
      <vt:variant>
        <vt:i4>5</vt:i4>
      </vt:variant>
      <vt:variant>
        <vt:lpwstr/>
      </vt:variant>
      <vt:variant>
        <vt:lpwstr>_Toc311846074</vt:lpwstr>
      </vt:variant>
      <vt:variant>
        <vt:i4>2031670</vt:i4>
      </vt:variant>
      <vt:variant>
        <vt:i4>668</vt:i4>
      </vt:variant>
      <vt:variant>
        <vt:i4>0</vt:i4>
      </vt:variant>
      <vt:variant>
        <vt:i4>5</vt:i4>
      </vt:variant>
      <vt:variant>
        <vt:lpwstr/>
      </vt:variant>
      <vt:variant>
        <vt:lpwstr>_Toc311846073</vt:lpwstr>
      </vt:variant>
      <vt:variant>
        <vt:i4>2031670</vt:i4>
      </vt:variant>
      <vt:variant>
        <vt:i4>662</vt:i4>
      </vt:variant>
      <vt:variant>
        <vt:i4>0</vt:i4>
      </vt:variant>
      <vt:variant>
        <vt:i4>5</vt:i4>
      </vt:variant>
      <vt:variant>
        <vt:lpwstr/>
      </vt:variant>
      <vt:variant>
        <vt:lpwstr>_Toc311846072</vt:lpwstr>
      </vt:variant>
      <vt:variant>
        <vt:i4>2031670</vt:i4>
      </vt:variant>
      <vt:variant>
        <vt:i4>656</vt:i4>
      </vt:variant>
      <vt:variant>
        <vt:i4>0</vt:i4>
      </vt:variant>
      <vt:variant>
        <vt:i4>5</vt:i4>
      </vt:variant>
      <vt:variant>
        <vt:lpwstr/>
      </vt:variant>
      <vt:variant>
        <vt:lpwstr>_Toc311846071</vt:lpwstr>
      </vt:variant>
      <vt:variant>
        <vt:i4>2031670</vt:i4>
      </vt:variant>
      <vt:variant>
        <vt:i4>650</vt:i4>
      </vt:variant>
      <vt:variant>
        <vt:i4>0</vt:i4>
      </vt:variant>
      <vt:variant>
        <vt:i4>5</vt:i4>
      </vt:variant>
      <vt:variant>
        <vt:lpwstr/>
      </vt:variant>
      <vt:variant>
        <vt:lpwstr>_Toc311846070</vt:lpwstr>
      </vt:variant>
      <vt:variant>
        <vt:i4>1966134</vt:i4>
      </vt:variant>
      <vt:variant>
        <vt:i4>644</vt:i4>
      </vt:variant>
      <vt:variant>
        <vt:i4>0</vt:i4>
      </vt:variant>
      <vt:variant>
        <vt:i4>5</vt:i4>
      </vt:variant>
      <vt:variant>
        <vt:lpwstr/>
      </vt:variant>
      <vt:variant>
        <vt:lpwstr>_Toc311846069</vt:lpwstr>
      </vt:variant>
      <vt:variant>
        <vt:i4>1966134</vt:i4>
      </vt:variant>
      <vt:variant>
        <vt:i4>638</vt:i4>
      </vt:variant>
      <vt:variant>
        <vt:i4>0</vt:i4>
      </vt:variant>
      <vt:variant>
        <vt:i4>5</vt:i4>
      </vt:variant>
      <vt:variant>
        <vt:lpwstr/>
      </vt:variant>
      <vt:variant>
        <vt:lpwstr>_Toc311846068</vt:lpwstr>
      </vt:variant>
      <vt:variant>
        <vt:i4>1966134</vt:i4>
      </vt:variant>
      <vt:variant>
        <vt:i4>632</vt:i4>
      </vt:variant>
      <vt:variant>
        <vt:i4>0</vt:i4>
      </vt:variant>
      <vt:variant>
        <vt:i4>5</vt:i4>
      </vt:variant>
      <vt:variant>
        <vt:lpwstr/>
      </vt:variant>
      <vt:variant>
        <vt:lpwstr>_Toc311846067</vt:lpwstr>
      </vt:variant>
      <vt:variant>
        <vt:i4>1966134</vt:i4>
      </vt:variant>
      <vt:variant>
        <vt:i4>626</vt:i4>
      </vt:variant>
      <vt:variant>
        <vt:i4>0</vt:i4>
      </vt:variant>
      <vt:variant>
        <vt:i4>5</vt:i4>
      </vt:variant>
      <vt:variant>
        <vt:lpwstr/>
      </vt:variant>
      <vt:variant>
        <vt:lpwstr>_Toc311846066</vt:lpwstr>
      </vt:variant>
      <vt:variant>
        <vt:i4>1966134</vt:i4>
      </vt:variant>
      <vt:variant>
        <vt:i4>620</vt:i4>
      </vt:variant>
      <vt:variant>
        <vt:i4>0</vt:i4>
      </vt:variant>
      <vt:variant>
        <vt:i4>5</vt:i4>
      </vt:variant>
      <vt:variant>
        <vt:lpwstr/>
      </vt:variant>
      <vt:variant>
        <vt:lpwstr>_Toc311846065</vt:lpwstr>
      </vt:variant>
      <vt:variant>
        <vt:i4>1966134</vt:i4>
      </vt:variant>
      <vt:variant>
        <vt:i4>614</vt:i4>
      </vt:variant>
      <vt:variant>
        <vt:i4>0</vt:i4>
      </vt:variant>
      <vt:variant>
        <vt:i4>5</vt:i4>
      </vt:variant>
      <vt:variant>
        <vt:lpwstr/>
      </vt:variant>
      <vt:variant>
        <vt:lpwstr>_Toc311846064</vt:lpwstr>
      </vt:variant>
      <vt:variant>
        <vt:i4>1966134</vt:i4>
      </vt:variant>
      <vt:variant>
        <vt:i4>608</vt:i4>
      </vt:variant>
      <vt:variant>
        <vt:i4>0</vt:i4>
      </vt:variant>
      <vt:variant>
        <vt:i4>5</vt:i4>
      </vt:variant>
      <vt:variant>
        <vt:lpwstr/>
      </vt:variant>
      <vt:variant>
        <vt:lpwstr>_Toc311846063</vt:lpwstr>
      </vt:variant>
      <vt:variant>
        <vt:i4>1966134</vt:i4>
      </vt:variant>
      <vt:variant>
        <vt:i4>602</vt:i4>
      </vt:variant>
      <vt:variant>
        <vt:i4>0</vt:i4>
      </vt:variant>
      <vt:variant>
        <vt:i4>5</vt:i4>
      </vt:variant>
      <vt:variant>
        <vt:lpwstr/>
      </vt:variant>
      <vt:variant>
        <vt:lpwstr>_Toc311846062</vt:lpwstr>
      </vt:variant>
      <vt:variant>
        <vt:i4>1966134</vt:i4>
      </vt:variant>
      <vt:variant>
        <vt:i4>596</vt:i4>
      </vt:variant>
      <vt:variant>
        <vt:i4>0</vt:i4>
      </vt:variant>
      <vt:variant>
        <vt:i4>5</vt:i4>
      </vt:variant>
      <vt:variant>
        <vt:lpwstr/>
      </vt:variant>
      <vt:variant>
        <vt:lpwstr>_Toc311846061</vt:lpwstr>
      </vt:variant>
      <vt:variant>
        <vt:i4>1966134</vt:i4>
      </vt:variant>
      <vt:variant>
        <vt:i4>590</vt:i4>
      </vt:variant>
      <vt:variant>
        <vt:i4>0</vt:i4>
      </vt:variant>
      <vt:variant>
        <vt:i4>5</vt:i4>
      </vt:variant>
      <vt:variant>
        <vt:lpwstr/>
      </vt:variant>
      <vt:variant>
        <vt:lpwstr>_Toc311846060</vt:lpwstr>
      </vt:variant>
      <vt:variant>
        <vt:i4>1900598</vt:i4>
      </vt:variant>
      <vt:variant>
        <vt:i4>584</vt:i4>
      </vt:variant>
      <vt:variant>
        <vt:i4>0</vt:i4>
      </vt:variant>
      <vt:variant>
        <vt:i4>5</vt:i4>
      </vt:variant>
      <vt:variant>
        <vt:lpwstr/>
      </vt:variant>
      <vt:variant>
        <vt:lpwstr>_Toc311846059</vt:lpwstr>
      </vt:variant>
      <vt:variant>
        <vt:i4>1900598</vt:i4>
      </vt:variant>
      <vt:variant>
        <vt:i4>578</vt:i4>
      </vt:variant>
      <vt:variant>
        <vt:i4>0</vt:i4>
      </vt:variant>
      <vt:variant>
        <vt:i4>5</vt:i4>
      </vt:variant>
      <vt:variant>
        <vt:lpwstr/>
      </vt:variant>
      <vt:variant>
        <vt:lpwstr>_Toc311846058</vt:lpwstr>
      </vt:variant>
      <vt:variant>
        <vt:i4>1900598</vt:i4>
      </vt:variant>
      <vt:variant>
        <vt:i4>572</vt:i4>
      </vt:variant>
      <vt:variant>
        <vt:i4>0</vt:i4>
      </vt:variant>
      <vt:variant>
        <vt:i4>5</vt:i4>
      </vt:variant>
      <vt:variant>
        <vt:lpwstr/>
      </vt:variant>
      <vt:variant>
        <vt:lpwstr>_Toc311846057</vt:lpwstr>
      </vt:variant>
      <vt:variant>
        <vt:i4>1900598</vt:i4>
      </vt:variant>
      <vt:variant>
        <vt:i4>566</vt:i4>
      </vt:variant>
      <vt:variant>
        <vt:i4>0</vt:i4>
      </vt:variant>
      <vt:variant>
        <vt:i4>5</vt:i4>
      </vt:variant>
      <vt:variant>
        <vt:lpwstr/>
      </vt:variant>
      <vt:variant>
        <vt:lpwstr>_Toc311846056</vt:lpwstr>
      </vt:variant>
      <vt:variant>
        <vt:i4>1900598</vt:i4>
      </vt:variant>
      <vt:variant>
        <vt:i4>560</vt:i4>
      </vt:variant>
      <vt:variant>
        <vt:i4>0</vt:i4>
      </vt:variant>
      <vt:variant>
        <vt:i4>5</vt:i4>
      </vt:variant>
      <vt:variant>
        <vt:lpwstr/>
      </vt:variant>
      <vt:variant>
        <vt:lpwstr>_Toc311846055</vt:lpwstr>
      </vt:variant>
      <vt:variant>
        <vt:i4>1900598</vt:i4>
      </vt:variant>
      <vt:variant>
        <vt:i4>554</vt:i4>
      </vt:variant>
      <vt:variant>
        <vt:i4>0</vt:i4>
      </vt:variant>
      <vt:variant>
        <vt:i4>5</vt:i4>
      </vt:variant>
      <vt:variant>
        <vt:lpwstr/>
      </vt:variant>
      <vt:variant>
        <vt:lpwstr>_Toc311846054</vt:lpwstr>
      </vt:variant>
      <vt:variant>
        <vt:i4>1900598</vt:i4>
      </vt:variant>
      <vt:variant>
        <vt:i4>548</vt:i4>
      </vt:variant>
      <vt:variant>
        <vt:i4>0</vt:i4>
      </vt:variant>
      <vt:variant>
        <vt:i4>5</vt:i4>
      </vt:variant>
      <vt:variant>
        <vt:lpwstr/>
      </vt:variant>
      <vt:variant>
        <vt:lpwstr>_Toc311846053</vt:lpwstr>
      </vt:variant>
      <vt:variant>
        <vt:i4>1900598</vt:i4>
      </vt:variant>
      <vt:variant>
        <vt:i4>542</vt:i4>
      </vt:variant>
      <vt:variant>
        <vt:i4>0</vt:i4>
      </vt:variant>
      <vt:variant>
        <vt:i4>5</vt:i4>
      </vt:variant>
      <vt:variant>
        <vt:lpwstr/>
      </vt:variant>
      <vt:variant>
        <vt:lpwstr>_Toc311846052</vt:lpwstr>
      </vt:variant>
      <vt:variant>
        <vt:i4>1900598</vt:i4>
      </vt:variant>
      <vt:variant>
        <vt:i4>536</vt:i4>
      </vt:variant>
      <vt:variant>
        <vt:i4>0</vt:i4>
      </vt:variant>
      <vt:variant>
        <vt:i4>5</vt:i4>
      </vt:variant>
      <vt:variant>
        <vt:lpwstr/>
      </vt:variant>
      <vt:variant>
        <vt:lpwstr>_Toc311846051</vt:lpwstr>
      </vt:variant>
      <vt:variant>
        <vt:i4>1900598</vt:i4>
      </vt:variant>
      <vt:variant>
        <vt:i4>530</vt:i4>
      </vt:variant>
      <vt:variant>
        <vt:i4>0</vt:i4>
      </vt:variant>
      <vt:variant>
        <vt:i4>5</vt:i4>
      </vt:variant>
      <vt:variant>
        <vt:lpwstr/>
      </vt:variant>
      <vt:variant>
        <vt:lpwstr>_Toc311846050</vt:lpwstr>
      </vt:variant>
      <vt:variant>
        <vt:i4>1835062</vt:i4>
      </vt:variant>
      <vt:variant>
        <vt:i4>524</vt:i4>
      </vt:variant>
      <vt:variant>
        <vt:i4>0</vt:i4>
      </vt:variant>
      <vt:variant>
        <vt:i4>5</vt:i4>
      </vt:variant>
      <vt:variant>
        <vt:lpwstr/>
      </vt:variant>
      <vt:variant>
        <vt:lpwstr>_Toc311846049</vt:lpwstr>
      </vt:variant>
      <vt:variant>
        <vt:i4>1835062</vt:i4>
      </vt:variant>
      <vt:variant>
        <vt:i4>518</vt:i4>
      </vt:variant>
      <vt:variant>
        <vt:i4>0</vt:i4>
      </vt:variant>
      <vt:variant>
        <vt:i4>5</vt:i4>
      </vt:variant>
      <vt:variant>
        <vt:lpwstr/>
      </vt:variant>
      <vt:variant>
        <vt:lpwstr>_Toc311846048</vt:lpwstr>
      </vt:variant>
      <vt:variant>
        <vt:i4>1835062</vt:i4>
      </vt:variant>
      <vt:variant>
        <vt:i4>512</vt:i4>
      </vt:variant>
      <vt:variant>
        <vt:i4>0</vt:i4>
      </vt:variant>
      <vt:variant>
        <vt:i4>5</vt:i4>
      </vt:variant>
      <vt:variant>
        <vt:lpwstr/>
      </vt:variant>
      <vt:variant>
        <vt:lpwstr>_Toc311846047</vt:lpwstr>
      </vt:variant>
      <vt:variant>
        <vt:i4>1835062</vt:i4>
      </vt:variant>
      <vt:variant>
        <vt:i4>506</vt:i4>
      </vt:variant>
      <vt:variant>
        <vt:i4>0</vt:i4>
      </vt:variant>
      <vt:variant>
        <vt:i4>5</vt:i4>
      </vt:variant>
      <vt:variant>
        <vt:lpwstr/>
      </vt:variant>
      <vt:variant>
        <vt:lpwstr>_Toc311846046</vt:lpwstr>
      </vt:variant>
      <vt:variant>
        <vt:i4>1835062</vt:i4>
      </vt:variant>
      <vt:variant>
        <vt:i4>500</vt:i4>
      </vt:variant>
      <vt:variant>
        <vt:i4>0</vt:i4>
      </vt:variant>
      <vt:variant>
        <vt:i4>5</vt:i4>
      </vt:variant>
      <vt:variant>
        <vt:lpwstr/>
      </vt:variant>
      <vt:variant>
        <vt:lpwstr>_Toc311846045</vt:lpwstr>
      </vt:variant>
      <vt:variant>
        <vt:i4>1835062</vt:i4>
      </vt:variant>
      <vt:variant>
        <vt:i4>491</vt:i4>
      </vt:variant>
      <vt:variant>
        <vt:i4>0</vt:i4>
      </vt:variant>
      <vt:variant>
        <vt:i4>5</vt:i4>
      </vt:variant>
      <vt:variant>
        <vt:lpwstr/>
      </vt:variant>
      <vt:variant>
        <vt:lpwstr>_Toc311846044</vt:lpwstr>
      </vt:variant>
      <vt:variant>
        <vt:i4>1835062</vt:i4>
      </vt:variant>
      <vt:variant>
        <vt:i4>485</vt:i4>
      </vt:variant>
      <vt:variant>
        <vt:i4>0</vt:i4>
      </vt:variant>
      <vt:variant>
        <vt:i4>5</vt:i4>
      </vt:variant>
      <vt:variant>
        <vt:lpwstr/>
      </vt:variant>
      <vt:variant>
        <vt:lpwstr>_Toc311846043</vt:lpwstr>
      </vt:variant>
      <vt:variant>
        <vt:i4>1835062</vt:i4>
      </vt:variant>
      <vt:variant>
        <vt:i4>479</vt:i4>
      </vt:variant>
      <vt:variant>
        <vt:i4>0</vt:i4>
      </vt:variant>
      <vt:variant>
        <vt:i4>5</vt:i4>
      </vt:variant>
      <vt:variant>
        <vt:lpwstr/>
      </vt:variant>
      <vt:variant>
        <vt:lpwstr>_Toc311846042</vt:lpwstr>
      </vt:variant>
      <vt:variant>
        <vt:i4>1835062</vt:i4>
      </vt:variant>
      <vt:variant>
        <vt:i4>473</vt:i4>
      </vt:variant>
      <vt:variant>
        <vt:i4>0</vt:i4>
      </vt:variant>
      <vt:variant>
        <vt:i4>5</vt:i4>
      </vt:variant>
      <vt:variant>
        <vt:lpwstr/>
      </vt:variant>
      <vt:variant>
        <vt:lpwstr>_Toc311846041</vt:lpwstr>
      </vt:variant>
      <vt:variant>
        <vt:i4>1835062</vt:i4>
      </vt:variant>
      <vt:variant>
        <vt:i4>467</vt:i4>
      </vt:variant>
      <vt:variant>
        <vt:i4>0</vt:i4>
      </vt:variant>
      <vt:variant>
        <vt:i4>5</vt:i4>
      </vt:variant>
      <vt:variant>
        <vt:lpwstr/>
      </vt:variant>
      <vt:variant>
        <vt:lpwstr>_Toc311846040</vt:lpwstr>
      </vt:variant>
      <vt:variant>
        <vt:i4>1769526</vt:i4>
      </vt:variant>
      <vt:variant>
        <vt:i4>461</vt:i4>
      </vt:variant>
      <vt:variant>
        <vt:i4>0</vt:i4>
      </vt:variant>
      <vt:variant>
        <vt:i4>5</vt:i4>
      </vt:variant>
      <vt:variant>
        <vt:lpwstr/>
      </vt:variant>
      <vt:variant>
        <vt:lpwstr>_Toc311846039</vt:lpwstr>
      </vt:variant>
      <vt:variant>
        <vt:i4>1769526</vt:i4>
      </vt:variant>
      <vt:variant>
        <vt:i4>455</vt:i4>
      </vt:variant>
      <vt:variant>
        <vt:i4>0</vt:i4>
      </vt:variant>
      <vt:variant>
        <vt:i4>5</vt:i4>
      </vt:variant>
      <vt:variant>
        <vt:lpwstr/>
      </vt:variant>
      <vt:variant>
        <vt:lpwstr>_Toc311846038</vt:lpwstr>
      </vt:variant>
      <vt:variant>
        <vt:i4>1769526</vt:i4>
      </vt:variant>
      <vt:variant>
        <vt:i4>449</vt:i4>
      </vt:variant>
      <vt:variant>
        <vt:i4>0</vt:i4>
      </vt:variant>
      <vt:variant>
        <vt:i4>5</vt:i4>
      </vt:variant>
      <vt:variant>
        <vt:lpwstr/>
      </vt:variant>
      <vt:variant>
        <vt:lpwstr>_Toc311846037</vt:lpwstr>
      </vt:variant>
      <vt:variant>
        <vt:i4>1769526</vt:i4>
      </vt:variant>
      <vt:variant>
        <vt:i4>443</vt:i4>
      </vt:variant>
      <vt:variant>
        <vt:i4>0</vt:i4>
      </vt:variant>
      <vt:variant>
        <vt:i4>5</vt:i4>
      </vt:variant>
      <vt:variant>
        <vt:lpwstr/>
      </vt:variant>
      <vt:variant>
        <vt:lpwstr>_Toc311846036</vt:lpwstr>
      </vt:variant>
      <vt:variant>
        <vt:i4>1769526</vt:i4>
      </vt:variant>
      <vt:variant>
        <vt:i4>437</vt:i4>
      </vt:variant>
      <vt:variant>
        <vt:i4>0</vt:i4>
      </vt:variant>
      <vt:variant>
        <vt:i4>5</vt:i4>
      </vt:variant>
      <vt:variant>
        <vt:lpwstr/>
      </vt:variant>
      <vt:variant>
        <vt:lpwstr>_Toc311846035</vt:lpwstr>
      </vt:variant>
      <vt:variant>
        <vt:i4>1769526</vt:i4>
      </vt:variant>
      <vt:variant>
        <vt:i4>431</vt:i4>
      </vt:variant>
      <vt:variant>
        <vt:i4>0</vt:i4>
      </vt:variant>
      <vt:variant>
        <vt:i4>5</vt:i4>
      </vt:variant>
      <vt:variant>
        <vt:lpwstr/>
      </vt:variant>
      <vt:variant>
        <vt:lpwstr>_Toc311846034</vt:lpwstr>
      </vt:variant>
      <vt:variant>
        <vt:i4>1769526</vt:i4>
      </vt:variant>
      <vt:variant>
        <vt:i4>425</vt:i4>
      </vt:variant>
      <vt:variant>
        <vt:i4>0</vt:i4>
      </vt:variant>
      <vt:variant>
        <vt:i4>5</vt:i4>
      </vt:variant>
      <vt:variant>
        <vt:lpwstr/>
      </vt:variant>
      <vt:variant>
        <vt:lpwstr>_Toc311846033</vt:lpwstr>
      </vt:variant>
      <vt:variant>
        <vt:i4>1769526</vt:i4>
      </vt:variant>
      <vt:variant>
        <vt:i4>419</vt:i4>
      </vt:variant>
      <vt:variant>
        <vt:i4>0</vt:i4>
      </vt:variant>
      <vt:variant>
        <vt:i4>5</vt:i4>
      </vt:variant>
      <vt:variant>
        <vt:lpwstr/>
      </vt:variant>
      <vt:variant>
        <vt:lpwstr>_Toc311846032</vt:lpwstr>
      </vt:variant>
      <vt:variant>
        <vt:i4>1769526</vt:i4>
      </vt:variant>
      <vt:variant>
        <vt:i4>413</vt:i4>
      </vt:variant>
      <vt:variant>
        <vt:i4>0</vt:i4>
      </vt:variant>
      <vt:variant>
        <vt:i4>5</vt:i4>
      </vt:variant>
      <vt:variant>
        <vt:lpwstr/>
      </vt:variant>
      <vt:variant>
        <vt:lpwstr>_Toc311846031</vt:lpwstr>
      </vt:variant>
      <vt:variant>
        <vt:i4>1769526</vt:i4>
      </vt:variant>
      <vt:variant>
        <vt:i4>407</vt:i4>
      </vt:variant>
      <vt:variant>
        <vt:i4>0</vt:i4>
      </vt:variant>
      <vt:variant>
        <vt:i4>5</vt:i4>
      </vt:variant>
      <vt:variant>
        <vt:lpwstr/>
      </vt:variant>
      <vt:variant>
        <vt:lpwstr>_Toc311846030</vt:lpwstr>
      </vt:variant>
      <vt:variant>
        <vt:i4>1703990</vt:i4>
      </vt:variant>
      <vt:variant>
        <vt:i4>401</vt:i4>
      </vt:variant>
      <vt:variant>
        <vt:i4>0</vt:i4>
      </vt:variant>
      <vt:variant>
        <vt:i4>5</vt:i4>
      </vt:variant>
      <vt:variant>
        <vt:lpwstr/>
      </vt:variant>
      <vt:variant>
        <vt:lpwstr>_Toc311846029</vt:lpwstr>
      </vt:variant>
      <vt:variant>
        <vt:i4>1703990</vt:i4>
      </vt:variant>
      <vt:variant>
        <vt:i4>395</vt:i4>
      </vt:variant>
      <vt:variant>
        <vt:i4>0</vt:i4>
      </vt:variant>
      <vt:variant>
        <vt:i4>5</vt:i4>
      </vt:variant>
      <vt:variant>
        <vt:lpwstr/>
      </vt:variant>
      <vt:variant>
        <vt:lpwstr>_Toc311846028</vt:lpwstr>
      </vt:variant>
      <vt:variant>
        <vt:i4>1703990</vt:i4>
      </vt:variant>
      <vt:variant>
        <vt:i4>389</vt:i4>
      </vt:variant>
      <vt:variant>
        <vt:i4>0</vt:i4>
      </vt:variant>
      <vt:variant>
        <vt:i4>5</vt:i4>
      </vt:variant>
      <vt:variant>
        <vt:lpwstr/>
      </vt:variant>
      <vt:variant>
        <vt:lpwstr>_Toc311846027</vt:lpwstr>
      </vt:variant>
      <vt:variant>
        <vt:i4>1703990</vt:i4>
      </vt:variant>
      <vt:variant>
        <vt:i4>383</vt:i4>
      </vt:variant>
      <vt:variant>
        <vt:i4>0</vt:i4>
      </vt:variant>
      <vt:variant>
        <vt:i4>5</vt:i4>
      </vt:variant>
      <vt:variant>
        <vt:lpwstr/>
      </vt:variant>
      <vt:variant>
        <vt:lpwstr>_Toc311846026</vt:lpwstr>
      </vt:variant>
      <vt:variant>
        <vt:i4>1703990</vt:i4>
      </vt:variant>
      <vt:variant>
        <vt:i4>377</vt:i4>
      </vt:variant>
      <vt:variant>
        <vt:i4>0</vt:i4>
      </vt:variant>
      <vt:variant>
        <vt:i4>5</vt:i4>
      </vt:variant>
      <vt:variant>
        <vt:lpwstr/>
      </vt:variant>
      <vt:variant>
        <vt:lpwstr>_Toc311846025</vt:lpwstr>
      </vt:variant>
      <vt:variant>
        <vt:i4>1703990</vt:i4>
      </vt:variant>
      <vt:variant>
        <vt:i4>371</vt:i4>
      </vt:variant>
      <vt:variant>
        <vt:i4>0</vt:i4>
      </vt:variant>
      <vt:variant>
        <vt:i4>5</vt:i4>
      </vt:variant>
      <vt:variant>
        <vt:lpwstr/>
      </vt:variant>
      <vt:variant>
        <vt:lpwstr>_Toc311846024</vt:lpwstr>
      </vt:variant>
      <vt:variant>
        <vt:i4>1703990</vt:i4>
      </vt:variant>
      <vt:variant>
        <vt:i4>365</vt:i4>
      </vt:variant>
      <vt:variant>
        <vt:i4>0</vt:i4>
      </vt:variant>
      <vt:variant>
        <vt:i4>5</vt:i4>
      </vt:variant>
      <vt:variant>
        <vt:lpwstr/>
      </vt:variant>
      <vt:variant>
        <vt:lpwstr>_Toc311846023</vt:lpwstr>
      </vt:variant>
      <vt:variant>
        <vt:i4>1703990</vt:i4>
      </vt:variant>
      <vt:variant>
        <vt:i4>359</vt:i4>
      </vt:variant>
      <vt:variant>
        <vt:i4>0</vt:i4>
      </vt:variant>
      <vt:variant>
        <vt:i4>5</vt:i4>
      </vt:variant>
      <vt:variant>
        <vt:lpwstr/>
      </vt:variant>
      <vt:variant>
        <vt:lpwstr>_Toc311846022</vt:lpwstr>
      </vt:variant>
      <vt:variant>
        <vt:i4>1703990</vt:i4>
      </vt:variant>
      <vt:variant>
        <vt:i4>353</vt:i4>
      </vt:variant>
      <vt:variant>
        <vt:i4>0</vt:i4>
      </vt:variant>
      <vt:variant>
        <vt:i4>5</vt:i4>
      </vt:variant>
      <vt:variant>
        <vt:lpwstr/>
      </vt:variant>
      <vt:variant>
        <vt:lpwstr>_Toc311846021</vt:lpwstr>
      </vt:variant>
      <vt:variant>
        <vt:i4>1703990</vt:i4>
      </vt:variant>
      <vt:variant>
        <vt:i4>347</vt:i4>
      </vt:variant>
      <vt:variant>
        <vt:i4>0</vt:i4>
      </vt:variant>
      <vt:variant>
        <vt:i4>5</vt:i4>
      </vt:variant>
      <vt:variant>
        <vt:lpwstr/>
      </vt:variant>
      <vt:variant>
        <vt:lpwstr>_Toc311846020</vt:lpwstr>
      </vt:variant>
      <vt:variant>
        <vt:i4>1638454</vt:i4>
      </vt:variant>
      <vt:variant>
        <vt:i4>341</vt:i4>
      </vt:variant>
      <vt:variant>
        <vt:i4>0</vt:i4>
      </vt:variant>
      <vt:variant>
        <vt:i4>5</vt:i4>
      </vt:variant>
      <vt:variant>
        <vt:lpwstr/>
      </vt:variant>
      <vt:variant>
        <vt:lpwstr>_Toc311846019</vt:lpwstr>
      </vt:variant>
      <vt:variant>
        <vt:i4>1638454</vt:i4>
      </vt:variant>
      <vt:variant>
        <vt:i4>335</vt:i4>
      </vt:variant>
      <vt:variant>
        <vt:i4>0</vt:i4>
      </vt:variant>
      <vt:variant>
        <vt:i4>5</vt:i4>
      </vt:variant>
      <vt:variant>
        <vt:lpwstr/>
      </vt:variant>
      <vt:variant>
        <vt:lpwstr>_Toc311846018</vt:lpwstr>
      </vt:variant>
      <vt:variant>
        <vt:i4>1638454</vt:i4>
      </vt:variant>
      <vt:variant>
        <vt:i4>329</vt:i4>
      </vt:variant>
      <vt:variant>
        <vt:i4>0</vt:i4>
      </vt:variant>
      <vt:variant>
        <vt:i4>5</vt:i4>
      </vt:variant>
      <vt:variant>
        <vt:lpwstr/>
      </vt:variant>
      <vt:variant>
        <vt:lpwstr>_Toc311846017</vt:lpwstr>
      </vt:variant>
      <vt:variant>
        <vt:i4>1638454</vt:i4>
      </vt:variant>
      <vt:variant>
        <vt:i4>323</vt:i4>
      </vt:variant>
      <vt:variant>
        <vt:i4>0</vt:i4>
      </vt:variant>
      <vt:variant>
        <vt:i4>5</vt:i4>
      </vt:variant>
      <vt:variant>
        <vt:lpwstr/>
      </vt:variant>
      <vt:variant>
        <vt:lpwstr>_Toc311846016</vt:lpwstr>
      </vt:variant>
      <vt:variant>
        <vt:i4>1638454</vt:i4>
      </vt:variant>
      <vt:variant>
        <vt:i4>317</vt:i4>
      </vt:variant>
      <vt:variant>
        <vt:i4>0</vt:i4>
      </vt:variant>
      <vt:variant>
        <vt:i4>5</vt:i4>
      </vt:variant>
      <vt:variant>
        <vt:lpwstr/>
      </vt:variant>
      <vt:variant>
        <vt:lpwstr>_Toc311846015</vt:lpwstr>
      </vt:variant>
      <vt:variant>
        <vt:i4>1638454</vt:i4>
      </vt:variant>
      <vt:variant>
        <vt:i4>311</vt:i4>
      </vt:variant>
      <vt:variant>
        <vt:i4>0</vt:i4>
      </vt:variant>
      <vt:variant>
        <vt:i4>5</vt:i4>
      </vt:variant>
      <vt:variant>
        <vt:lpwstr/>
      </vt:variant>
      <vt:variant>
        <vt:lpwstr>_Toc311846014</vt:lpwstr>
      </vt:variant>
      <vt:variant>
        <vt:i4>1638454</vt:i4>
      </vt:variant>
      <vt:variant>
        <vt:i4>305</vt:i4>
      </vt:variant>
      <vt:variant>
        <vt:i4>0</vt:i4>
      </vt:variant>
      <vt:variant>
        <vt:i4>5</vt:i4>
      </vt:variant>
      <vt:variant>
        <vt:lpwstr/>
      </vt:variant>
      <vt:variant>
        <vt:lpwstr>_Toc311846013</vt:lpwstr>
      </vt:variant>
      <vt:variant>
        <vt:i4>1638454</vt:i4>
      </vt:variant>
      <vt:variant>
        <vt:i4>299</vt:i4>
      </vt:variant>
      <vt:variant>
        <vt:i4>0</vt:i4>
      </vt:variant>
      <vt:variant>
        <vt:i4>5</vt:i4>
      </vt:variant>
      <vt:variant>
        <vt:lpwstr/>
      </vt:variant>
      <vt:variant>
        <vt:lpwstr>_Toc311846012</vt:lpwstr>
      </vt:variant>
      <vt:variant>
        <vt:i4>1638454</vt:i4>
      </vt:variant>
      <vt:variant>
        <vt:i4>293</vt:i4>
      </vt:variant>
      <vt:variant>
        <vt:i4>0</vt:i4>
      </vt:variant>
      <vt:variant>
        <vt:i4>5</vt:i4>
      </vt:variant>
      <vt:variant>
        <vt:lpwstr/>
      </vt:variant>
      <vt:variant>
        <vt:lpwstr>_Toc311846011</vt:lpwstr>
      </vt:variant>
      <vt:variant>
        <vt:i4>1638454</vt:i4>
      </vt:variant>
      <vt:variant>
        <vt:i4>284</vt:i4>
      </vt:variant>
      <vt:variant>
        <vt:i4>0</vt:i4>
      </vt:variant>
      <vt:variant>
        <vt:i4>5</vt:i4>
      </vt:variant>
      <vt:variant>
        <vt:lpwstr/>
      </vt:variant>
      <vt:variant>
        <vt:lpwstr>_Toc311846010</vt:lpwstr>
      </vt:variant>
      <vt:variant>
        <vt:i4>1572918</vt:i4>
      </vt:variant>
      <vt:variant>
        <vt:i4>278</vt:i4>
      </vt:variant>
      <vt:variant>
        <vt:i4>0</vt:i4>
      </vt:variant>
      <vt:variant>
        <vt:i4>5</vt:i4>
      </vt:variant>
      <vt:variant>
        <vt:lpwstr/>
      </vt:variant>
      <vt:variant>
        <vt:lpwstr>_Toc311846009</vt:lpwstr>
      </vt:variant>
      <vt:variant>
        <vt:i4>1572918</vt:i4>
      </vt:variant>
      <vt:variant>
        <vt:i4>272</vt:i4>
      </vt:variant>
      <vt:variant>
        <vt:i4>0</vt:i4>
      </vt:variant>
      <vt:variant>
        <vt:i4>5</vt:i4>
      </vt:variant>
      <vt:variant>
        <vt:lpwstr/>
      </vt:variant>
      <vt:variant>
        <vt:lpwstr>_Toc311846008</vt:lpwstr>
      </vt:variant>
      <vt:variant>
        <vt:i4>1572918</vt:i4>
      </vt:variant>
      <vt:variant>
        <vt:i4>266</vt:i4>
      </vt:variant>
      <vt:variant>
        <vt:i4>0</vt:i4>
      </vt:variant>
      <vt:variant>
        <vt:i4>5</vt:i4>
      </vt:variant>
      <vt:variant>
        <vt:lpwstr/>
      </vt:variant>
      <vt:variant>
        <vt:lpwstr>_Toc311846007</vt:lpwstr>
      </vt:variant>
      <vt:variant>
        <vt:i4>1572918</vt:i4>
      </vt:variant>
      <vt:variant>
        <vt:i4>260</vt:i4>
      </vt:variant>
      <vt:variant>
        <vt:i4>0</vt:i4>
      </vt:variant>
      <vt:variant>
        <vt:i4>5</vt:i4>
      </vt:variant>
      <vt:variant>
        <vt:lpwstr/>
      </vt:variant>
      <vt:variant>
        <vt:lpwstr>_Toc311846006</vt:lpwstr>
      </vt:variant>
      <vt:variant>
        <vt:i4>1572918</vt:i4>
      </vt:variant>
      <vt:variant>
        <vt:i4>254</vt:i4>
      </vt:variant>
      <vt:variant>
        <vt:i4>0</vt:i4>
      </vt:variant>
      <vt:variant>
        <vt:i4>5</vt:i4>
      </vt:variant>
      <vt:variant>
        <vt:lpwstr/>
      </vt:variant>
      <vt:variant>
        <vt:lpwstr>_Toc311846005</vt:lpwstr>
      </vt:variant>
      <vt:variant>
        <vt:i4>1572918</vt:i4>
      </vt:variant>
      <vt:variant>
        <vt:i4>248</vt:i4>
      </vt:variant>
      <vt:variant>
        <vt:i4>0</vt:i4>
      </vt:variant>
      <vt:variant>
        <vt:i4>5</vt:i4>
      </vt:variant>
      <vt:variant>
        <vt:lpwstr/>
      </vt:variant>
      <vt:variant>
        <vt:lpwstr>_Toc311846004</vt:lpwstr>
      </vt:variant>
      <vt:variant>
        <vt:i4>1572918</vt:i4>
      </vt:variant>
      <vt:variant>
        <vt:i4>242</vt:i4>
      </vt:variant>
      <vt:variant>
        <vt:i4>0</vt:i4>
      </vt:variant>
      <vt:variant>
        <vt:i4>5</vt:i4>
      </vt:variant>
      <vt:variant>
        <vt:lpwstr/>
      </vt:variant>
      <vt:variant>
        <vt:lpwstr>_Toc311846003</vt:lpwstr>
      </vt:variant>
      <vt:variant>
        <vt:i4>1572918</vt:i4>
      </vt:variant>
      <vt:variant>
        <vt:i4>236</vt:i4>
      </vt:variant>
      <vt:variant>
        <vt:i4>0</vt:i4>
      </vt:variant>
      <vt:variant>
        <vt:i4>5</vt:i4>
      </vt:variant>
      <vt:variant>
        <vt:lpwstr/>
      </vt:variant>
      <vt:variant>
        <vt:lpwstr>_Toc311846002</vt:lpwstr>
      </vt:variant>
      <vt:variant>
        <vt:i4>1572918</vt:i4>
      </vt:variant>
      <vt:variant>
        <vt:i4>230</vt:i4>
      </vt:variant>
      <vt:variant>
        <vt:i4>0</vt:i4>
      </vt:variant>
      <vt:variant>
        <vt:i4>5</vt:i4>
      </vt:variant>
      <vt:variant>
        <vt:lpwstr/>
      </vt:variant>
      <vt:variant>
        <vt:lpwstr>_Toc311846001</vt:lpwstr>
      </vt:variant>
      <vt:variant>
        <vt:i4>1572918</vt:i4>
      </vt:variant>
      <vt:variant>
        <vt:i4>224</vt:i4>
      </vt:variant>
      <vt:variant>
        <vt:i4>0</vt:i4>
      </vt:variant>
      <vt:variant>
        <vt:i4>5</vt:i4>
      </vt:variant>
      <vt:variant>
        <vt:lpwstr/>
      </vt:variant>
      <vt:variant>
        <vt:lpwstr>_Toc311846000</vt:lpwstr>
      </vt:variant>
      <vt:variant>
        <vt:i4>1179711</vt:i4>
      </vt:variant>
      <vt:variant>
        <vt:i4>218</vt:i4>
      </vt:variant>
      <vt:variant>
        <vt:i4>0</vt:i4>
      </vt:variant>
      <vt:variant>
        <vt:i4>5</vt:i4>
      </vt:variant>
      <vt:variant>
        <vt:lpwstr/>
      </vt:variant>
      <vt:variant>
        <vt:lpwstr>_Toc311845999</vt:lpwstr>
      </vt:variant>
      <vt:variant>
        <vt:i4>1179711</vt:i4>
      </vt:variant>
      <vt:variant>
        <vt:i4>212</vt:i4>
      </vt:variant>
      <vt:variant>
        <vt:i4>0</vt:i4>
      </vt:variant>
      <vt:variant>
        <vt:i4>5</vt:i4>
      </vt:variant>
      <vt:variant>
        <vt:lpwstr/>
      </vt:variant>
      <vt:variant>
        <vt:lpwstr>_Toc311845998</vt:lpwstr>
      </vt:variant>
      <vt:variant>
        <vt:i4>1179711</vt:i4>
      </vt:variant>
      <vt:variant>
        <vt:i4>206</vt:i4>
      </vt:variant>
      <vt:variant>
        <vt:i4>0</vt:i4>
      </vt:variant>
      <vt:variant>
        <vt:i4>5</vt:i4>
      </vt:variant>
      <vt:variant>
        <vt:lpwstr/>
      </vt:variant>
      <vt:variant>
        <vt:lpwstr>_Toc311845997</vt:lpwstr>
      </vt:variant>
      <vt:variant>
        <vt:i4>1179711</vt:i4>
      </vt:variant>
      <vt:variant>
        <vt:i4>200</vt:i4>
      </vt:variant>
      <vt:variant>
        <vt:i4>0</vt:i4>
      </vt:variant>
      <vt:variant>
        <vt:i4>5</vt:i4>
      </vt:variant>
      <vt:variant>
        <vt:lpwstr/>
      </vt:variant>
      <vt:variant>
        <vt:lpwstr>_Toc311845996</vt:lpwstr>
      </vt:variant>
      <vt:variant>
        <vt:i4>1179711</vt:i4>
      </vt:variant>
      <vt:variant>
        <vt:i4>194</vt:i4>
      </vt:variant>
      <vt:variant>
        <vt:i4>0</vt:i4>
      </vt:variant>
      <vt:variant>
        <vt:i4>5</vt:i4>
      </vt:variant>
      <vt:variant>
        <vt:lpwstr/>
      </vt:variant>
      <vt:variant>
        <vt:lpwstr>_Toc311845995</vt:lpwstr>
      </vt:variant>
      <vt:variant>
        <vt:i4>1179711</vt:i4>
      </vt:variant>
      <vt:variant>
        <vt:i4>188</vt:i4>
      </vt:variant>
      <vt:variant>
        <vt:i4>0</vt:i4>
      </vt:variant>
      <vt:variant>
        <vt:i4>5</vt:i4>
      </vt:variant>
      <vt:variant>
        <vt:lpwstr/>
      </vt:variant>
      <vt:variant>
        <vt:lpwstr>_Toc311845994</vt:lpwstr>
      </vt:variant>
      <vt:variant>
        <vt:i4>1179711</vt:i4>
      </vt:variant>
      <vt:variant>
        <vt:i4>182</vt:i4>
      </vt:variant>
      <vt:variant>
        <vt:i4>0</vt:i4>
      </vt:variant>
      <vt:variant>
        <vt:i4>5</vt:i4>
      </vt:variant>
      <vt:variant>
        <vt:lpwstr/>
      </vt:variant>
      <vt:variant>
        <vt:lpwstr>_Toc311845993</vt:lpwstr>
      </vt:variant>
      <vt:variant>
        <vt:i4>1179711</vt:i4>
      </vt:variant>
      <vt:variant>
        <vt:i4>176</vt:i4>
      </vt:variant>
      <vt:variant>
        <vt:i4>0</vt:i4>
      </vt:variant>
      <vt:variant>
        <vt:i4>5</vt:i4>
      </vt:variant>
      <vt:variant>
        <vt:lpwstr/>
      </vt:variant>
      <vt:variant>
        <vt:lpwstr>_Toc311845992</vt:lpwstr>
      </vt:variant>
      <vt:variant>
        <vt:i4>1179711</vt:i4>
      </vt:variant>
      <vt:variant>
        <vt:i4>170</vt:i4>
      </vt:variant>
      <vt:variant>
        <vt:i4>0</vt:i4>
      </vt:variant>
      <vt:variant>
        <vt:i4>5</vt:i4>
      </vt:variant>
      <vt:variant>
        <vt:lpwstr/>
      </vt:variant>
      <vt:variant>
        <vt:lpwstr>_Toc311845991</vt:lpwstr>
      </vt:variant>
      <vt:variant>
        <vt:i4>1179711</vt:i4>
      </vt:variant>
      <vt:variant>
        <vt:i4>164</vt:i4>
      </vt:variant>
      <vt:variant>
        <vt:i4>0</vt:i4>
      </vt:variant>
      <vt:variant>
        <vt:i4>5</vt:i4>
      </vt:variant>
      <vt:variant>
        <vt:lpwstr/>
      </vt:variant>
      <vt:variant>
        <vt:lpwstr>_Toc311845990</vt:lpwstr>
      </vt:variant>
      <vt:variant>
        <vt:i4>1245247</vt:i4>
      </vt:variant>
      <vt:variant>
        <vt:i4>158</vt:i4>
      </vt:variant>
      <vt:variant>
        <vt:i4>0</vt:i4>
      </vt:variant>
      <vt:variant>
        <vt:i4>5</vt:i4>
      </vt:variant>
      <vt:variant>
        <vt:lpwstr/>
      </vt:variant>
      <vt:variant>
        <vt:lpwstr>_Toc311845989</vt:lpwstr>
      </vt:variant>
      <vt:variant>
        <vt:i4>1245247</vt:i4>
      </vt:variant>
      <vt:variant>
        <vt:i4>152</vt:i4>
      </vt:variant>
      <vt:variant>
        <vt:i4>0</vt:i4>
      </vt:variant>
      <vt:variant>
        <vt:i4>5</vt:i4>
      </vt:variant>
      <vt:variant>
        <vt:lpwstr/>
      </vt:variant>
      <vt:variant>
        <vt:lpwstr>_Toc311845988</vt:lpwstr>
      </vt:variant>
      <vt:variant>
        <vt:i4>1245247</vt:i4>
      </vt:variant>
      <vt:variant>
        <vt:i4>146</vt:i4>
      </vt:variant>
      <vt:variant>
        <vt:i4>0</vt:i4>
      </vt:variant>
      <vt:variant>
        <vt:i4>5</vt:i4>
      </vt:variant>
      <vt:variant>
        <vt:lpwstr/>
      </vt:variant>
      <vt:variant>
        <vt:lpwstr>_Toc311845987</vt:lpwstr>
      </vt:variant>
      <vt:variant>
        <vt:i4>1245247</vt:i4>
      </vt:variant>
      <vt:variant>
        <vt:i4>140</vt:i4>
      </vt:variant>
      <vt:variant>
        <vt:i4>0</vt:i4>
      </vt:variant>
      <vt:variant>
        <vt:i4>5</vt:i4>
      </vt:variant>
      <vt:variant>
        <vt:lpwstr/>
      </vt:variant>
      <vt:variant>
        <vt:lpwstr>_Toc311845986</vt:lpwstr>
      </vt:variant>
      <vt:variant>
        <vt:i4>1245247</vt:i4>
      </vt:variant>
      <vt:variant>
        <vt:i4>134</vt:i4>
      </vt:variant>
      <vt:variant>
        <vt:i4>0</vt:i4>
      </vt:variant>
      <vt:variant>
        <vt:i4>5</vt:i4>
      </vt:variant>
      <vt:variant>
        <vt:lpwstr/>
      </vt:variant>
      <vt:variant>
        <vt:lpwstr>_Toc311845985</vt:lpwstr>
      </vt:variant>
      <vt:variant>
        <vt:i4>1245247</vt:i4>
      </vt:variant>
      <vt:variant>
        <vt:i4>128</vt:i4>
      </vt:variant>
      <vt:variant>
        <vt:i4>0</vt:i4>
      </vt:variant>
      <vt:variant>
        <vt:i4>5</vt:i4>
      </vt:variant>
      <vt:variant>
        <vt:lpwstr/>
      </vt:variant>
      <vt:variant>
        <vt:lpwstr>_Toc311845984</vt:lpwstr>
      </vt:variant>
      <vt:variant>
        <vt:i4>1245247</vt:i4>
      </vt:variant>
      <vt:variant>
        <vt:i4>122</vt:i4>
      </vt:variant>
      <vt:variant>
        <vt:i4>0</vt:i4>
      </vt:variant>
      <vt:variant>
        <vt:i4>5</vt:i4>
      </vt:variant>
      <vt:variant>
        <vt:lpwstr/>
      </vt:variant>
      <vt:variant>
        <vt:lpwstr>_Toc311845983</vt:lpwstr>
      </vt:variant>
      <vt:variant>
        <vt:i4>1245247</vt:i4>
      </vt:variant>
      <vt:variant>
        <vt:i4>116</vt:i4>
      </vt:variant>
      <vt:variant>
        <vt:i4>0</vt:i4>
      </vt:variant>
      <vt:variant>
        <vt:i4>5</vt:i4>
      </vt:variant>
      <vt:variant>
        <vt:lpwstr/>
      </vt:variant>
      <vt:variant>
        <vt:lpwstr>_Toc311845982</vt:lpwstr>
      </vt:variant>
      <vt:variant>
        <vt:i4>1245247</vt:i4>
      </vt:variant>
      <vt:variant>
        <vt:i4>110</vt:i4>
      </vt:variant>
      <vt:variant>
        <vt:i4>0</vt:i4>
      </vt:variant>
      <vt:variant>
        <vt:i4>5</vt:i4>
      </vt:variant>
      <vt:variant>
        <vt:lpwstr/>
      </vt:variant>
      <vt:variant>
        <vt:lpwstr>_Toc311845981</vt:lpwstr>
      </vt:variant>
      <vt:variant>
        <vt:i4>1245247</vt:i4>
      </vt:variant>
      <vt:variant>
        <vt:i4>104</vt:i4>
      </vt:variant>
      <vt:variant>
        <vt:i4>0</vt:i4>
      </vt:variant>
      <vt:variant>
        <vt:i4>5</vt:i4>
      </vt:variant>
      <vt:variant>
        <vt:lpwstr/>
      </vt:variant>
      <vt:variant>
        <vt:lpwstr>_Toc311845980</vt:lpwstr>
      </vt:variant>
      <vt:variant>
        <vt:i4>1835071</vt:i4>
      </vt:variant>
      <vt:variant>
        <vt:i4>98</vt:i4>
      </vt:variant>
      <vt:variant>
        <vt:i4>0</vt:i4>
      </vt:variant>
      <vt:variant>
        <vt:i4>5</vt:i4>
      </vt:variant>
      <vt:variant>
        <vt:lpwstr/>
      </vt:variant>
      <vt:variant>
        <vt:lpwstr>_Toc311845979</vt:lpwstr>
      </vt:variant>
      <vt:variant>
        <vt:i4>1835071</vt:i4>
      </vt:variant>
      <vt:variant>
        <vt:i4>92</vt:i4>
      </vt:variant>
      <vt:variant>
        <vt:i4>0</vt:i4>
      </vt:variant>
      <vt:variant>
        <vt:i4>5</vt:i4>
      </vt:variant>
      <vt:variant>
        <vt:lpwstr/>
      </vt:variant>
      <vt:variant>
        <vt:lpwstr>_Toc311845978</vt:lpwstr>
      </vt:variant>
      <vt:variant>
        <vt:i4>1835071</vt:i4>
      </vt:variant>
      <vt:variant>
        <vt:i4>86</vt:i4>
      </vt:variant>
      <vt:variant>
        <vt:i4>0</vt:i4>
      </vt:variant>
      <vt:variant>
        <vt:i4>5</vt:i4>
      </vt:variant>
      <vt:variant>
        <vt:lpwstr/>
      </vt:variant>
      <vt:variant>
        <vt:lpwstr>_Toc311845977</vt:lpwstr>
      </vt:variant>
      <vt:variant>
        <vt:i4>1835071</vt:i4>
      </vt:variant>
      <vt:variant>
        <vt:i4>80</vt:i4>
      </vt:variant>
      <vt:variant>
        <vt:i4>0</vt:i4>
      </vt:variant>
      <vt:variant>
        <vt:i4>5</vt:i4>
      </vt:variant>
      <vt:variant>
        <vt:lpwstr/>
      </vt:variant>
      <vt:variant>
        <vt:lpwstr>_Toc311845976</vt:lpwstr>
      </vt:variant>
      <vt:variant>
        <vt:i4>1835071</vt:i4>
      </vt:variant>
      <vt:variant>
        <vt:i4>74</vt:i4>
      </vt:variant>
      <vt:variant>
        <vt:i4>0</vt:i4>
      </vt:variant>
      <vt:variant>
        <vt:i4>5</vt:i4>
      </vt:variant>
      <vt:variant>
        <vt:lpwstr/>
      </vt:variant>
      <vt:variant>
        <vt:lpwstr>_Toc311845975</vt:lpwstr>
      </vt:variant>
      <vt:variant>
        <vt:i4>1835071</vt:i4>
      </vt:variant>
      <vt:variant>
        <vt:i4>68</vt:i4>
      </vt:variant>
      <vt:variant>
        <vt:i4>0</vt:i4>
      </vt:variant>
      <vt:variant>
        <vt:i4>5</vt:i4>
      </vt:variant>
      <vt:variant>
        <vt:lpwstr/>
      </vt:variant>
      <vt:variant>
        <vt:lpwstr>_Toc311845974</vt:lpwstr>
      </vt:variant>
      <vt:variant>
        <vt:i4>1835071</vt:i4>
      </vt:variant>
      <vt:variant>
        <vt:i4>62</vt:i4>
      </vt:variant>
      <vt:variant>
        <vt:i4>0</vt:i4>
      </vt:variant>
      <vt:variant>
        <vt:i4>5</vt:i4>
      </vt:variant>
      <vt:variant>
        <vt:lpwstr/>
      </vt:variant>
      <vt:variant>
        <vt:lpwstr>_Toc311845973</vt:lpwstr>
      </vt:variant>
      <vt:variant>
        <vt:i4>1835071</vt:i4>
      </vt:variant>
      <vt:variant>
        <vt:i4>56</vt:i4>
      </vt:variant>
      <vt:variant>
        <vt:i4>0</vt:i4>
      </vt:variant>
      <vt:variant>
        <vt:i4>5</vt:i4>
      </vt:variant>
      <vt:variant>
        <vt:lpwstr/>
      </vt:variant>
      <vt:variant>
        <vt:lpwstr>_Toc311845972</vt:lpwstr>
      </vt:variant>
      <vt:variant>
        <vt:i4>1835071</vt:i4>
      </vt:variant>
      <vt:variant>
        <vt:i4>50</vt:i4>
      </vt:variant>
      <vt:variant>
        <vt:i4>0</vt:i4>
      </vt:variant>
      <vt:variant>
        <vt:i4>5</vt:i4>
      </vt:variant>
      <vt:variant>
        <vt:lpwstr/>
      </vt:variant>
      <vt:variant>
        <vt:lpwstr>_Toc311845971</vt:lpwstr>
      </vt:variant>
      <vt:variant>
        <vt:i4>1835071</vt:i4>
      </vt:variant>
      <vt:variant>
        <vt:i4>44</vt:i4>
      </vt:variant>
      <vt:variant>
        <vt:i4>0</vt:i4>
      </vt:variant>
      <vt:variant>
        <vt:i4>5</vt:i4>
      </vt:variant>
      <vt:variant>
        <vt:lpwstr/>
      </vt:variant>
      <vt:variant>
        <vt:lpwstr>_Toc311845970</vt:lpwstr>
      </vt:variant>
      <vt:variant>
        <vt:i4>1900607</vt:i4>
      </vt:variant>
      <vt:variant>
        <vt:i4>38</vt:i4>
      </vt:variant>
      <vt:variant>
        <vt:i4>0</vt:i4>
      </vt:variant>
      <vt:variant>
        <vt:i4>5</vt:i4>
      </vt:variant>
      <vt:variant>
        <vt:lpwstr/>
      </vt:variant>
      <vt:variant>
        <vt:lpwstr>_Toc311845969</vt:lpwstr>
      </vt:variant>
      <vt:variant>
        <vt:i4>1900607</vt:i4>
      </vt:variant>
      <vt:variant>
        <vt:i4>32</vt:i4>
      </vt:variant>
      <vt:variant>
        <vt:i4>0</vt:i4>
      </vt:variant>
      <vt:variant>
        <vt:i4>5</vt:i4>
      </vt:variant>
      <vt:variant>
        <vt:lpwstr/>
      </vt:variant>
      <vt:variant>
        <vt:lpwstr>_Toc311845968</vt:lpwstr>
      </vt:variant>
      <vt:variant>
        <vt:i4>1900607</vt:i4>
      </vt:variant>
      <vt:variant>
        <vt:i4>26</vt:i4>
      </vt:variant>
      <vt:variant>
        <vt:i4>0</vt:i4>
      </vt:variant>
      <vt:variant>
        <vt:i4>5</vt:i4>
      </vt:variant>
      <vt:variant>
        <vt:lpwstr/>
      </vt:variant>
      <vt:variant>
        <vt:lpwstr>_Toc311845967</vt:lpwstr>
      </vt:variant>
      <vt:variant>
        <vt:i4>1900607</vt:i4>
      </vt:variant>
      <vt:variant>
        <vt:i4>20</vt:i4>
      </vt:variant>
      <vt:variant>
        <vt:i4>0</vt:i4>
      </vt:variant>
      <vt:variant>
        <vt:i4>5</vt:i4>
      </vt:variant>
      <vt:variant>
        <vt:lpwstr/>
      </vt:variant>
      <vt:variant>
        <vt:lpwstr>_Toc311845966</vt:lpwstr>
      </vt:variant>
      <vt:variant>
        <vt:i4>1900607</vt:i4>
      </vt:variant>
      <vt:variant>
        <vt:i4>14</vt:i4>
      </vt:variant>
      <vt:variant>
        <vt:i4>0</vt:i4>
      </vt:variant>
      <vt:variant>
        <vt:i4>5</vt:i4>
      </vt:variant>
      <vt:variant>
        <vt:lpwstr/>
      </vt:variant>
      <vt:variant>
        <vt:lpwstr>_Toc311845965</vt:lpwstr>
      </vt:variant>
      <vt:variant>
        <vt:i4>1900607</vt:i4>
      </vt:variant>
      <vt:variant>
        <vt:i4>8</vt:i4>
      </vt:variant>
      <vt:variant>
        <vt:i4>0</vt:i4>
      </vt:variant>
      <vt:variant>
        <vt:i4>5</vt:i4>
      </vt:variant>
      <vt:variant>
        <vt:lpwstr/>
      </vt:variant>
      <vt:variant>
        <vt:lpwstr>_Toc311845964</vt:lpwstr>
      </vt:variant>
      <vt:variant>
        <vt:i4>1900607</vt:i4>
      </vt:variant>
      <vt:variant>
        <vt:i4>2</vt:i4>
      </vt:variant>
      <vt:variant>
        <vt:i4>0</vt:i4>
      </vt:variant>
      <vt:variant>
        <vt:i4>5</vt:i4>
      </vt:variant>
      <vt:variant>
        <vt:lpwstr/>
      </vt:variant>
      <vt:variant>
        <vt:lpwstr>_Toc311845963</vt:lpwstr>
      </vt:variant>
      <vt:variant>
        <vt:i4>1376275</vt:i4>
      </vt:variant>
      <vt:variant>
        <vt:i4>33</vt:i4>
      </vt:variant>
      <vt:variant>
        <vt:i4>0</vt:i4>
      </vt:variant>
      <vt:variant>
        <vt:i4>5</vt:i4>
      </vt:variant>
      <vt:variant>
        <vt:lpwstr>http://www.nma.org/pdf/072010_nma_filing.pdf</vt:lpwstr>
      </vt:variant>
      <vt:variant>
        <vt:lpwstr/>
      </vt:variant>
      <vt:variant>
        <vt:i4>852095</vt:i4>
      </vt:variant>
      <vt:variant>
        <vt:i4>30</vt:i4>
      </vt:variant>
      <vt:variant>
        <vt:i4>0</vt:i4>
      </vt:variant>
      <vt:variant>
        <vt:i4>5</vt:i4>
      </vt:variant>
      <vt:variant>
        <vt:lpwstr>http://water.epa.gov/lawsregs/lawsguidance/cwa/316b/upload/factsheet_proposed.pdf</vt:lpwstr>
      </vt:variant>
      <vt:variant>
        <vt:lpwstr/>
      </vt:variant>
      <vt:variant>
        <vt:i4>5636185</vt:i4>
      </vt:variant>
      <vt:variant>
        <vt:i4>27</vt:i4>
      </vt:variant>
      <vt:variant>
        <vt:i4>0</vt:i4>
      </vt:variant>
      <vt:variant>
        <vt:i4>5</vt:i4>
      </vt:variant>
      <vt:variant>
        <vt:lpwstr>http://www.epa.gov/air/ozonepollution/pdfs/20101208motion.pdf</vt:lpwstr>
      </vt:variant>
      <vt:variant>
        <vt:lpwstr/>
      </vt:variant>
      <vt:variant>
        <vt:i4>7798910</vt:i4>
      </vt:variant>
      <vt:variant>
        <vt:i4>24</vt:i4>
      </vt:variant>
      <vt:variant>
        <vt:i4>0</vt:i4>
      </vt:variant>
      <vt:variant>
        <vt:i4>5</vt:i4>
      </vt:variant>
      <vt:variant>
        <vt:lpwstr>http://www.epa.gov/air/ozonepollution/pdfs/2008_03_factsheet.pdf</vt:lpwstr>
      </vt:variant>
      <vt:variant>
        <vt:lpwstr/>
      </vt:variant>
      <vt:variant>
        <vt:i4>983112</vt:i4>
      </vt:variant>
      <vt:variant>
        <vt:i4>21</vt:i4>
      </vt:variant>
      <vt:variant>
        <vt:i4>0</vt:i4>
      </vt:variant>
      <vt:variant>
        <vt:i4>5</vt:i4>
      </vt:variant>
      <vt:variant>
        <vt:lpwstr>http://www.epa.gov/air/particlepollution/health.html</vt:lpwstr>
      </vt:variant>
      <vt:variant>
        <vt:lpwstr/>
      </vt:variant>
      <vt:variant>
        <vt:i4>5636097</vt:i4>
      </vt:variant>
      <vt:variant>
        <vt:i4>18</vt:i4>
      </vt:variant>
      <vt:variant>
        <vt:i4>0</vt:i4>
      </vt:variant>
      <vt:variant>
        <vt:i4>5</vt:i4>
      </vt:variant>
      <vt:variant>
        <vt:lpwstr>http://www.epa.gov/visibility/pdfs/20090115fr.pdf</vt:lpwstr>
      </vt:variant>
      <vt:variant>
        <vt:lpwstr/>
      </vt:variant>
      <vt:variant>
        <vt:i4>6291523</vt:i4>
      </vt:variant>
      <vt:variant>
        <vt:i4>15</vt:i4>
      </vt:variant>
      <vt:variant>
        <vt:i4>0</vt:i4>
      </vt:variant>
      <vt:variant>
        <vt:i4>5</vt:i4>
      </vt:variant>
      <vt:variant>
        <vt:lpwstr>http://www.epa.gov/airmarkets/progsregs/cair/docs/CAIR_Reply_Attachment_1.pdf</vt:lpwstr>
      </vt:variant>
      <vt:variant>
        <vt:lpwstr/>
      </vt:variant>
      <vt:variant>
        <vt:i4>7536721</vt:i4>
      </vt:variant>
      <vt:variant>
        <vt:i4>12</vt:i4>
      </vt:variant>
      <vt:variant>
        <vt:i4>0</vt:i4>
      </vt:variant>
      <vt:variant>
        <vt:i4>5</vt:i4>
      </vt:variant>
      <vt:variant>
        <vt:lpwstr>http://www.epa.gov/visibility/fs_2005_07_20.html</vt:lpwstr>
      </vt:variant>
      <vt:variant>
        <vt:lpwstr/>
      </vt:variant>
      <vt:variant>
        <vt:i4>4587551</vt:i4>
      </vt:variant>
      <vt:variant>
        <vt:i4>9</vt:i4>
      </vt:variant>
      <vt:variant>
        <vt:i4>0</vt:i4>
      </vt:variant>
      <vt:variant>
        <vt:i4>5</vt:i4>
      </vt:variant>
      <vt:variant>
        <vt:lpwstr>http://www.epa.gov/airmarkets/progsregs/cair/docs/CAIRRemandOrder.pdf</vt:lpwstr>
      </vt:variant>
      <vt:variant>
        <vt:lpwstr/>
      </vt:variant>
      <vt:variant>
        <vt:i4>5242965</vt:i4>
      </vt:variant>
      <vt:variant>
        <vt:i4>6</vt:i4>
      </vt:variant>
      <vt:variant>
        <vt:i4>0</vt:i4>
      </vt:variant>
      <vt:variant>
        <vt:i4>5</vt:i4>
      </vt:variant>
      <vt:variant>
        <vt:lpwstr>http://www.eia.doe.gov/oil_gas/rpd/shale_gas.jpg</vt:lpwstr>
      </vt:variant>
      <vt:variant>
        <vt:lpwstr/>
      </vt:variant>
      <vt:variant>
        <vt:i4>5177427</vt:i4>
      </vt:variant>
      <vt:variant>
        <vt:i4>3</vt:i4>
      </vt:variant>
      <vt:variant>
        <vt:i4>0</vt:i4>
      </vt:variant>
      <vt:variant>
        <vt:i4>5</vt:i4>
      </vt:variant>
      <vt:variant>
        <vt:lpwstr>http://web.mit.edu/mitei/research/studies/natural-gas-2011.shtml</vt:lpwstr>
      </vt:variant>
      <vt:variant>
        <vt:lpwstr/>
      </vt:variant>
      <vt:variant>
        <vt:i4>7667756</vt:i4>
      </vt:variant>
      <vt:variant>
        <vt:i4>0</vt:i4>
      </vt:variant>
      <vt:variant>
        <vt:i4>0</vt:i4>
      </vt:variant>
      <vt:variant>
        <vt:i4>5</vt:i4>
      </vt:variant>
      <vt:variant>
        <vt:lpwstr>http://www.mines.edu/Potential-Gas-Committee-reports-unprecedented-increase-in-magnitude-of-U.S.-natural-gas-resource-base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2013-01-30T22:56:00Z</dcterms:created>
  <dcterms:modified xsi:type="dcterms:W3CDTF">2013-01-30T22:56:00Z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